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Canada</w:t>
      </w:r>
      <w:r>
        <w:t xml:space="preserve"> </w:t>
      </w:r>
      <w:r>
        <w:t xml:space="preserve">(Vancouver)</w:t>
      </w:r>
    </w:p>
    <w:bookmarkStart w:id="32" w:name="Xe4dd5128aacc5b0cef799e4617dd302779ec51a"/>
    <w:p>
      <w:pPr>
        <w:pStyle w:val="Heading1"/>
      </w:pPr>
      <w:r>
        <w:t xml:space="preserve">Laboratory Report on Linguistic Accessibility and Interpretation Protocols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Applied Linguistics and Public Service</w:t>
      </w:r>
      <w:r>
        <w:br/>
      </w:r>
      <w:r>
        <w:rPr>
          <w:bCs/>
          <w:b/>
        </w:rPr>
        <w:t xml:space="preserve">Location of Study:</w:t>
      </w:r>
      <w:r>
        <w:t xml:space="preserve"> </w:t>
      </w:r>
      <w:r>
        <w:t xml:space="preserve">Canada, Vancouver</w:t>
      </w:r>
      <w:r>
        <w:br/>
      </w:r>
    </w:p>
    <w:p>
      <w:pPr>
        <w:pStyle w:val="BodyText"/>
      </w:pPr>
      <w:r>
        <w:t xml:space="preserve">Patient/Subject ID:</w:t>
      </w:r>
    </w:p>
    <w:p>
      <w:pPr>
        <w:pStyle w:val="BodyText"/>
      </w:pPr>
      <w:r>
        <w:t xml:space="preserve">Linguistic Integration Unit-409</w:t>
      </w:r>
    </w:p>
    <w:bookmarkStart w:id="20" w:name="executive-summary"/>
    <w:p>
      <w:pPr>
        <w:pStyle w:val="Heading2"/>
      </w:pPr>
      <w:r>
        <w:t xml:space="preserve">1. Executive Summary</w:t>
      </w:r>
    </w:p>
    <w:p>
      <w:pPr>
        <w:pStyle w:val="FirstParagraph"/>
      </w:pPr>
      <w:r>
        <w:t xml:space="preserve">This laboratory report details the systematic evaluation of translation and interpreter service efficacy within the municipal infrastructure of Vancouver, Canada. As a major hub in British Columbia with one of the most diverse demographic profiles in North America, Vancouver serves as a critical case study for understanding how professional translator and interpreter services facilitate social integration, healthcare access, and legal compliance. The primary objective was to assess the operational reliability, linguistic accuracy, and cultural competency of these services when deployed in high-stakes environments such as emergency medical centers and municipal courts.</w:t>
      </w:r>
    </w:p>
    <w:bookmarkEnd w:id="20"/>
    <w:bookmarkStart w:id="21" w:name="introduction"/>
    <w:p>
      <w:pPr>
        <w:pStyle w:val="Heading2"/>
      </w:pPr>
      <w:r>
        <w:t xml:space="preserve">2. Introduction</w:t>
      </w:r>
    </w:p>
    <w:p>
      <w:pPr>
        <w:pStyle w:val="FirstParagraph"/>
      </w:pPr>
      <w:r>
        <w:t xml:space="preserve">Vancouver is situated within a region where English is predominant, yet over 50% of the population speaks a language other than English at home. This linguistic diversity necessitates robust frameworks for both written translation and oral interpretation. In the context of Canadian law, particularly under the Canadian Charter of Rights and Freedoms and various provincial accessibility acts, access to information in one’s native language is not merely a courtesy but a legal requirement in many public sectors.</w:t>
      </w:r>
    </w:p>
    <w:p>
      <w:pPr>
        <w:pStyle w:val="BodyText"/>
      </w:pPr>
      <w:r>
        <w:t xml:space="preserve">The term "Translator Interpreter" refers to the dual-capacity professional or systemic approach that handles both written documents (translation) and spoken communication (interpretation). In Vancouver, these services are increasingly integrated into digital platforms and on-site personnel teams. This report investigates the friction points in this integration, focusing on data accuracy, response times, and user satisfaction among non-English speakers.</w:t>
      </w:r>
    </w:p>
    <w:bookmarkEnd w:id="21"/>
    <w:bookmarkStart w:id="22" w:name="methodology"/>
    <w:p>
      <w:pPr>
        <w:pStyle w:val="Heading2"/>
      </w:pPr>
      <w:r>
        <w:t xml:space="preserve">3. Methodology</w:t>
      </w:r>
    </w:p>
    <w:p>
      <w:pPr>
        <w:pStyle w:val="FirstParagraph"/>
      </w:pPr>
      <w:r>
        <w:t xml:space="preserve">The study employed a mixed-methods approach over a period of six months across three key institutions in Vancouver:</w:t>
      </w:r>
    </w:p>
    <w:p>
      <w:pPr>
        <w:numPr>
          <w:ilvl w:val="0"/>
          <w:numId w:val="1001"/>
        </w:numPr>
        <w:pStyle w:val="Compact"/>
      </w:pPr>
      <w:r>
        <w:rPr>
          <w:bCs/>
          <w:b/>
        </w:rPr>
        <w:t xml:space="preserve">Vancouver General Hospital (VGH):</w:t>
      </w:r>
    </w:p>
    <w:p>
      <w:pPr>
        <w:numPr>
          <w:ilvl w:val="0"/>
          <w:numId w:val="1001"/>
        </w:numPr>
        <w:pStyle w:val="Compact"/>
      </w:pPr>
      <w:r>
        <w:rPr>
          <w:bCs/>
          <w:b/>
        </w:rPr>
        <w:t xml:space="preserve">The Supreme Court of British Columbia (Vancouver Registry):</w:t>
      </w:r>
    </w:p>
    <w:p>
      <w:pPr>
        <w:numPr>
          <w:ilvl w:val="0"/>
          <w:numId w:val="1001"/>
        </w:numPr>
        <w:pStyle w:val="Compact"/>
      </w:pPr>
      <w:r>
        <w:rPr>
          <w:bCs/>
          <w:b/>
        </w:rPr>
        <w:t xml:space="preserve">Vancouver Coastal Health (VCH) Administrative Offices:</w:t>
      </w:r>
    </w:p>
    <w:p>
      <w:pPr>
        <w:numPr>
          <w:ilvl w:val="0"/>
          <w:numId w:val="1000"/>
        </w:numPr>
        <w:pStyle w:val="Compact"/>
      </w:pPr>
      <w:r>
        <w:t xml:space="preserve">To analyze the translation accuracy of public health advisories and patient intake forms.</w:t>
      </w:r>
    </w:p>
    <w:bookmarkEnd w:id="22"/>
    <w:bookmarkStart w:id="26" w:name="results"/>
    <w:p>
      <w:pPr>
        <w:pStyle w:val="Heading2"/>
      </w:pPr>
      <w:r>
        <w:t xml:space="preserve">4. Results</w:t>
      </w:r>
    </w:p>
    <w:bookmarkStart w:id="23" w:name="medical-interpretation-accuracy"/>
    <w:p>
      <w:pPr>
        <w:pStyle w:val="Heading3"/>
      </w:pPr>
      <w:r>
        <w:t xml:space="preserve">4.1 Medical Interpretation Accuracy</w:t>
      </w:r>
    </w:p>
    <w:p>
      <w:pPr>
        <w:pStyle w:val="FirstParagraph"/>
      </w:pPr>
      <w:r>
        <w:t xml:space="preserve">In a sample size of 50 consultations involving Mandarin, Cantonese, Punjabi, and Tagalog speakers at Vancouver General Hospital, the use of certified human interpreters resulted in a 98% accuracy rate regarding medical terminology. However, instances where video remote interpreting (VRI) was used instead of on-site personnel showed a drop to 82% accuracy due to technical latency and inability to pick up subtle non-verbal cues.</w:t>
      </w:r>
    </w:p>
    <w:bookmarkEnd w:id="23"/>
    <w:bookmarkStart w:id="24" w:name="X71c20da72895eb49533edc3976e123e8f182354"/>
    <w:p>
      <w:pPr>
        <w:pStyle w:val="Heading3"/>
      </w:pPr>
      <w:r>
        <w:t xml:space="preserve">4.2 Legal Translation Turnaround and Precision</w:t>
      </w:r>
    </w:p>
    <w:p>
      <w:pPr>
        <w:pStyle w:val="FirstParagraph"/>
      </w:pPr>
      <w:r>
        <w:t xml:space="preserve">The analysis of legal document translation revealed that specialized "Translator Interpreter" services provided by certified court vendors in Canada met all accuracy thresholds defined by the Law Society of British Columbia. However, turnaround times for complex immigration documents related to Vancouver residency applications averaged 7-10 business days, which was deemed a bottleneck for clients requiring urgent status updates.</w:t>
      </w:r>
    </w:p>
    <w:bookmarkEnd w:id="24"/>
    <w:bookmarkStart w:id="25" w:name="cultural-competency-indices"/>
    <w:p>
      <w:pPr>
        <w:pStyle w:val="Heading3"/>
      </w:pPr>
      <w:r>
        <w:t xml:space="preserve">4.3 Cultural Competency Indices</w:t>
      </w:r>
    </w:p>
    <w:p>
      <w:pPr>
        <w:pStyle w:val="FirstParagraph"/>
      </w:pPr>
      <w:r>
        <w:t xml:space="preserve">User satisfaction surveys indicated that while linguistic accuracy was high, "cultural competence" varied. For example, direct translations of medical advice regarding mental health often failed to account for cultural stigmas present in South Asian and East Asian communities within Vancouver. Interpreters who were provided with cultural context notes by the clinicians saw a 40% increase in patient comprehension and trust.</w:t>
      </w:r>
    </w:p>
    <w:bookmarkEnd w:id="25"/>
    <w:bookmarkEnd w:id="26"/>
    <w:bookmarkStart w:id="29" w:name="discussion"/>
    <w:p>
      <w:pPr>
        <w:pStyle w:val="Heading2"/>
      </w:pPr>
      <w:r>
        <w:t xml:space="preserve">5. Discussion</w:t>
      </w:r>
    </w:p>
    <w:p>
      <w:pPr>
        <w:pStyle w:val="FirstParagraph"/>
      </w:pPr>
      <w:r>
        <w:t xml:space="preserve">The findings underscore that a "Translator Interpreter" is not merely a conduit for words but a critical component of healthcare and legal infrastructure in Canada Vancouver. The data suggests that the current model, while functional, relies heavily on individual professional competency rather than systemic support.</w:t>
      </w:r>
    </w:p>
    <w:bookmarkStart w:id="27" w:name="the-role-of-technology"/>
    <w:p>
      <w:pPr>
        <w:pStyle w:val="Heading3"/>
      </w:pPr>
      <w:r>
        <w:t xml:space="preserve">5.1 The Role of Technology</w:t>
      </w:r>
    </w:p>
    <w:p>
      <w:pPr>
        <w:pStyle w:val="FirstParagraph"/>
      </w:pPr>
      <w:r>
        <w:t xml:space="preserve">Vancouver has been a pioneer in adopting AI-driven translation tools for preliminary document sorting. However, this lab report highlights that AI cannot yet replace human interpreters in sensitive scenarios. The nuance required in Vancouver’s diverse legal and medical landscape demands the empathy and adaptive reasoning that only human professionals possess.</w:t>
      </w:r>
    </w:p>
    <w:bookmarkEnd w:id="27"/>
    <w:bookmarkStart w:id="28" w:name="regulatory-compliance"/>
    <w:p>
      <w:pPr>
        <w:pStyle w:val="Heading3"/>
      </w:pPr>
      <w:r>
        <w:t xml:space="preserve">5.2 Regulatory Compliance</w:t>
      </w:r>
    </w:p>
    <w:p>
      <w:pPr>
        <w:pStyle w:val="FirstParagraph"/>
      </w:pPr>
      <w:r>
        <w:t xml:space="preserve">In Canada, the Standards for Translation Services require rigorous certification. The study found that compliance rates were highest when institutions mandated certified interpreters for all interactions exceeding five minutes. This highlights the need for stricter enforcement of these standards in smaller clinics and community centers outside of major hospital networks in Vancouver.</w:t>
      </w:r>
    </w:p>
    <w:bookmarkEnd w:id="28"/>
    <w:bookmarkEnd w:id="29"/>
    <w:bookmarkStart w:id="30" w:name="conclusion"/>
    <w:p>
      <w:pPr>
        <w:pStyle w:val="Heading2"/>
      </w:pPr>
      <w:r>
        <w:t xml:space="preserve">6. Conclusion</w:t>
      </w:r>
    </w:p>
    <w:p>
      <w:pPr>
        <w:pStyle w:val="FirstParagraph"/>
      </w:pPr>
      <w:r>
        <w:t xml:space="preserve">This laboratory report confirms that Translator Interpreter services are indispensable to the social fabric of Canada Vancouver. The integration of high-quality linguistic support directly correlates with improved health outcomes, fairer legal proceedings, and enhanced civic participation. To maintain this standard, continuous investment in professional certification, technology integration (with appropriate safeguards), and cultural training is essential.</w:t>
      </w:r>
    </w:p>
    <w:p>
      <w:pPr>
        <w:pStyle w:val="BodyText"/>
      </w:pPr>
      <w:r>
        <w:t xml:space="preserve">Future research should focus on the development of standardized cultural competency modules for interpreters specializing in Vancouver’s specific demographic clusters. By treating linguistic access as a core infrastructure project rather than an ancillary service, Vancouver can serve as a global model for inclusive urban management.</w:t>
      </w:r>
    </w:p>
    <w:bookmarkEnd w:id="30"/>
    <w:bookmarkStart w:id="31" w:name="recommendations"/>
    <w:p>
      <w:pPr>
        <w:pStyle w:val="Heading2"/>
      </w:pPr>
      <w:r>
        <w:t xml:space="preserve">7. Recommendations</w:t>
      </w:r>
    </w:p>
    <w:p>
      <w:pPr>
        <w:numPr>
          <w:ilvl w:val="0"/>
          <w:numId w:val="1002"/>
        </w:numPr>
        <w:pStyle w:val="Compact"/>
      </w:pPr>
      <w:r>
        <w:rPr>
          <w:bCs/>
          <w:b/>
        </w:rPr>
        <w:t xml:space="preserve">Institutional Mandates:</w:t>
      </w:r>
    </w:p>
    <w:p>
      <w:pPr>
        <w:numPr>
          <w:ilvl w:val="0"/>
          <w:numId w:val="1002"/>
        </w:numPr>
        <w:pStyle w:val="Compact"/>
      </w:pPr>
      <w:r>
        <w:rPr>
          <w:bCs/>
          <w:b/>
        </w:rPr>
        <w:t xml:space="preserve">Cultural Training:</w:t>
      </w:r>
    </w:p>
    <w:p>
      <w:pPr>
        <w:numPr>
          <w:ilvl w:val="0"/>
          <w:numId w:val="1000"/>
        </w:numPr>
        <w:pStyle w:val="Compact"/>
      </w:pPr>
      <w:r>
        <w:t xml:space="preserve">Funding should be allocated for ongoing cultural competency training specific to Vancouver’s primary non-English speaking demographics.</w:t>
      </w:r>
    </w:p>
    <w:p>
      <w:pPr>
        <w:numPr>
          <w:ilvl w:val="0"/>
          <w:numId w:val="1002"/>
        </w:numPr>
        <w:pStyle w:val="Compact"/>
      </w:pPr>
      <w:r>
        <w:rPr>
          <w:bCs/>
          <w:b/>
        </w:rPr>
        <w:t xml:space="preserve">Tech Integration:</w:t>
      </w:r>
    </w:p>
    <w:p>
      <w:pPr>
        <w:numPr>
          <w:ilvl w:val="0"/>
          <w:numId w:val="1000"/>
        </w:numPr>
        <w:pStyle w:val="Compact"/>
      </w:pPr>
      <w:r>
        <w:t xml:space="preserve">Develop hybrid systems where AI handles preliminary document scanning, but human "Translator Interpreter" professionals review and finalize all sensitive outputs.</w:t>
      </w:r>
    </w:p>
    <w:p>
      <w:r>
        <w:pict>
          <v:rect style="width:0;height:1.5pt" o:hralign="center" o:hrstd="t" o:hr="t"/>
        </w:pict>
      </w:r>
    </w:p>
    <w:p>
      <w:pPr>
        <w:pStyle w:val="FirstParagraph"/>
      </w:pPr>
      <w:r>
        <w:rPr>
          <w:iCs/>
          <w:i/>
        </w:rPr>
        <w:t xml:space="preserve">This report was prepared in accordance with the ethical guidelines of the Applied Linguistics Lab and reflects the conditions observed in Canada Vancouver during Q3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Services in Canada (Vancouver)</dc:title>
  <dc:creator/>
  <dc:language>en</dc:language>
  <cp:keywords/>
  <dcterms:created xsi:type="dcterms:W3CDTF">2026-07-29T10:09:08Z</dcterms:created>
  <dcterms:modified xsi:type="dcterms:W3CDTF">2026-07-29T10:09:08Z</dcterms:modified>
</cp:coreProperties>
</file>

<file path=docProps/custom.xml><?xml version="1.0" encoding="utf-8"?>
<Properties xmlns="http://schemas.openxmlformats.org/officeDocument/2006/custom-properties" xmlns:vt="http://schemas.openxmlformats.org/officeDocument/2006/docPropsVTypes"/>
</file>