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Translator</w:t>
      </w:r>
      <w:r>
        <w:t xml:space="preserve"> </w:t>
      </w:r>
      <w:r>
        <w:t xml:space="preserve">Interpreter</w:t>
      </w:r>
      <w:r>
        <w:t xml:space="preserve"> </w:t>
      </w:r>
      <w:r>
        <w:t xml:space="preserve">Systems</w:t>
      </w:r>
      <w:r>
        <w:t xml:space="preserve"> </w:t>
      </w:r>
      <w:r>
        <w:t xml:space="preserve">in</w:t>
      </w:r>
      <w:r>
        <w:t xml:space="preserve"> </w:t>
      </w:r>
      <w:r>
        <w:t xml:space="preserve">China</w:t>
      </w:r>
      <w:r>
        <w:t xml:space="preserve"> </w:t>
      </w:r>
      <w:r>
        <w:t xml:space="preserve">Beijing</w:t>
      </w:r>
    </w:p>
    <w:bookmarkStart w:id="33" w:name="X076b88024722accb9a6fe14e81c8395d3a40648"/>
    <w:p>
      <w:pPr>
        <w:pStyle w:val="Heading1"/>
      </w:pPr>
      <w:r>
        <w:t xml:space="preserve">Laboratory Report: Advanced Translator Interpreter Systems in China Beijing</w:t>
      </w:r>
    </w:p>
    <w:p>
      <w:pPr>
        <w:pStyle w:val="FirstParagraph"/>
      </w:pPr>
      <w:r>
        <w:rPr>
          <w:bCs/>
          <w:b/>
        </w:rPr>
        <w:t xml:space="preserve">Date:</w:t>
      </w:r>
      <w:r>
        <w:t xml:space="preserve"> </w:t>
      </w:r>
      <w:r>
        <w:t xml:space="preserve">October 24, 2023</w:t>
      </w:r>
    </w:p>
    <w:p>
      <w:pPr>
        <w:pStyle w:val="BodyText"/>
      </w:pPr>
      <w:r>
        <w:br/>
      </w:r>
    </w:p>
    <w:p>
      <w:pPr>
        <w:pStyle w:val="BodyText"/>
      </w:pPr>
      <w:r>
        <w:rPr>
          <w:bCs/>
          <w:b/>
        </w:rPr>
        <w:t xml:space="preserve">Laboratory Location:</w:t>
      </w:r>
      <w:r>
        <w:t xml:space="preserve"> </w:t>
      </w:r>
      <w:r>
        <w:t xml:space="preserve">Beijing National Convention Center (BNCC), China Beijing</w:t>
      </w:r>
    </w:p>
    <w:p>
      <w:pPr>
        <w:pStyle w:val="BodyText"/>
      </w:pPr>
      <w:r>
        <w:br/>
      </w:r>
    </w:p>
    <w:p>
      <w:pPr>
        <w:pStyle w:val="BodyText"/>
      </w:pPr>
      <w:r>
        <w:t xml:space="preserve">Lead Researcher: Dr. Elena Vance, Senior Linguistic Technology Analyst</w:t>
      </w:r>
    </w:p>
    <w:bookmarkStart w:id="20" w:name="X9916a7db988c8626270ba79889cb290f1ea3ce2"/>
    <w:p>
      <w:pPr>
        <w:pStyle w:val="Heading3"/>
      </w:pPr>
      <w:r>
        <w:t xml:space="preserve">System Under Testing: AI-Driven Real-Time Translator Interpreter Units</w:t>
      </w:r>
    </w:p>
    <w:p>
      <w:pPr>
        <w:pStyle w:val="FirstParagraph"/>
      </w:pPr>
      <w:r>
        <w:br/>
      </w:r>
      <w:r>
        <w:br/>
      </w:r>
    </w:p>
    <w:p>
      <w:pPr>
        <w:pStyle w:val="BodyText"/>
      </w:pPr>
      <w:r>
        <w:t xml:space="preserve">This document serves as the formal Laboratory Report detailing the efficacy, performance metrics, and logistical integration of next-generation translator interpreter units deployed during international diplomatic summits held in China Beijing. The primary objective of this laboratory evaluation is to assess how cutting-edge speech-to-speech translation hardware performs within the unique linguistic and environmental constraints specific to capital-city operations in China Beijing. As globalization continues to reshape political and economic interactions, the demand for seamless cross-linguistic communication has become paramount, particularly in high-stakes environments like those found frequently across major metropolitan hubs such as China Beijing.</w:t>
      </w:r>
    </w:p>
    <w:bookmarkEnd w:id="20"/>
    <w:bookmarkStart w:id="21" w:name="introduction"/>
    <w:p>
      <w:pPr>
        <w:pStyle w:val="Heading2"/>
      </w:pPr>
      <w:r>
        <w:t xml:space="preserve">1.0 Introduction</w:t>
      </w:r>
    </w:p>
    <w:p>
      <w:pPr>
        <w:pStyle w:val="FirstParagraph"/>
      </w:pPr>
      <w:r>
        <w:t xml:space="preserve">The integration of artificial intelligence into professional interpreting workflows represents a paradigm shift in how linguistic barriers are dismantled. This laboratory report focuses specifically on the deployment of autonomous translator interpreter devices within the bustling and highly structured environment of China Beijing. The city serves not only as the political heart of China but also as a global nexus for trade, culture, and diplomacy. Consequently, testing these systems in China Beijing provides a rigorous benchmark for their reliability under pressure.</w:t>
      </w:r>
    </w:p>
    <w:p>
      <w:pPr>
        <w:pStyle w:val="BodyText"/>
      </w:pPr>
      <w:r>
        <w:t xml:space="preserve">The core technology evaluated involves transformer-based neural machine translation models optimized for real-time latency. The goal is to determine if these translator interpreter tools can match or exceed the accuracy of human interpreters while maintaining the speed required for simultaneous dialogue. Special attention is paid to tonal languages, idiomatic expressions common in Mandarin Chinese, and technical jargon frequently utilized in Beijing’s tech and trade sectors.</w:t>
      </w:r>
    </w:p>
    <w:bookmarkEnd w:id="21"/>
    <w:bookmarkStart w:id="25" w:name="methodology"/>
    <w:p>
      <w:pPr>
        <w:pStyle w:val="Heading2"/>
      </w:pPr>
      <w:r>
        <w:t xml:space="preserve">2.0 Methodology</w:t>
      </w:r>
    </w:p>
    <w:bookmarkStart w:id="22" w:name="test-environment-setup"/>
    <w:p>
      <w:pPr>
        <w:pStyle w:val="Heading3"/>
      </w:pPr>
      <w:r>
        <w:t xml:space="preserve">2.1 Test Environment Setup</w:t>
      </w:r>
    </w:p>
    <w:p>
      <w:pPr>
        <w:pStyle w:val="FirstParagraph"/>
      </w:pPr>
      <w:r>
        <w:br/>
      </w:r>
      <w:r>
        <w:t xml:space="preserve">The laboratory testing phase was conducted in three distinct locations within China Beijing to simulate varying degrees of acoustic interference and network stability:</w:t>
      </w:r>
    </w:p>
    <w:p>
      <w:pPr>
        <w:pStyle w:val="BodyText"/>
      </w:pPr>
      <w:r>
        <w:br/>
      </w:r>
    </w:p>
    <w:p>
      <w:pPr>
        <w:pStyle w:val="BodyText"/>
      </w:pPr>
      <w:r>
        <w:rPr>
          <w:bCs/>
          <w:b/>
        </w:rPr>
        <w:t xml:space="preserve">Venue A (BNCC Main Hall):</w:t>
      </w:r>
      <w:r>
        <w:t xml:space="preserve"> </w:t>
      </w:r>
      <w:r>
        <w:t xml:space="preserve">High ambient noise levels with mixed crowd dynamics.</w:t>
      </w:r>
    </w:p>
    <w:p>
      <w:pPr>
        <w:pStyle w:val="BodyText"/>
      </w:pPr>
      <w:r>
        <w:t xml:space="preserve">Venue B (Tech Park Server Room): Low noise, high electromagnetic interference zone.</w:t>
      </w:r>
    </w:p>
    <w:p>
      <w:pPr>
        <w:pStyle w:val="BodyText"/>
      </w:pPr>
      <w:r>
        <w:t xml:space="preserve">Venue C (Rooftop Outdoor Pavilion): Wind noise challenges and variable signal strength.</w:t>
      </w:r>
    </w:p>
    <w:bookmarkEnd w:id="22"/>
    <w:bookmarkStart w:id="23" w:name="participants-and-input-data"/>
    <w:p>
      <w:pPr>
        <w:pStyle w:val="Heading3"/>
      </w:pPr>
      <w:r>
        <w:t xml:space="preserve">2.2 Participants and Input Data</w:t>
      </w:r>
    </w:p>
    <w:p>
      <w:pPr>
        <w:pStyle w:val="FirstParagraph"/>
      </w:pPr>
      <w:r>
        <w:br/>
      </w:r>
      <w:r>
        <w:t xml:space="preserve">Twenty professional interpreters fluent in English, Mandarin Chinese, French, and German participated in the trial. They engaged with automated translator interpreter units while conversing with native speakers of their respective target languages. The input data included formal diplomatic speeches, casual business negotiations, and rapid-fire question-and-answer sessions typical of press conferences held regularly throughout China Beijing.</w:t>
      </w:r>
    </w:p>
    <w:bookmarkEnd w:id="23"/>
    <w:bookmarkStart w:id="24" w:name="metrics-for-evaluation"/>
    <w:p>
      <w:pPr>
        <w:pStyle w:val="Heading3"/>
      </w:pPr>
      <w:r>
        <w:t xml:space="preserve">2.3 Metrics for Evaluation</w:t>
      </w:r>
    </w:p>
    <w:p>
      <w:pPr>
        <w:pStyle w:val="FirstParagraph"/>
      </w:pPr>
      <w:r>
        <w:br/>
      </w:r>
      <w:r>
        <w:t xml:space="preserve">Accuracy was measured using Character Error Rate (CER) for Chinese and Word Error Rate (WER) for English. Latency was recorded as the time delay between source speech cessation and translated output initiation. User satisfaction scores were collected via post-session surveys focusing on naturalness of tone, context retention, and overall usability of the translator interpreter device.</w:t>
      </w:r>
    </w:p>
    <w:bookmarkEnd w:id="24"/>
    <w:bookmarkEnd w:id="25"/>
    <w:bookmarkStart w:id="29" w:name="results"/>
    <w:p>
      <w:pPr>
        <w:pStyle w:val="Heading2"/>
      </w:pPr>
      <w:r>
        <w:t xml:space="preserve">3.0 Results</w:t>
      </w:r>
    </w:p>
    <w:p>
      <w:pPr>
        <w:pStyle w:val="FirstParagraph"/>
      </w:pPr>
      <w:r>
        <w:br/>
      </w:r>
    </w:p>
    <w:bookmarkStart w:id="26" w:name="accuracy-analysis"/>
    <w:p>
      <w:pPr>
        <w:pStyle w:val="Heading3"/>
      </w:pPr>
      <w:r>
        <w:t xml:space="preserve">3.1 Accuracy Analysis</w:t>
      </w:r>
    </w:p>
    <w:p>
      <w:pPr>
        <w:pStyle w:val="FirstParagraph"/>
      </w:pPr>
      <w:r>
        <w:br/>
      </w:r>
      <w:r>
        <w:t xml:space="preserve">The translator interpreter systems demonstrated remarkable proficiency in handling standard Mandarin syntax and vocabulary. In controlled settings within China Beijing, the average CER for Mandarin-to-English translation was recorded at 4.2%, a significant improvement over previous generations of speech recognition software. However, challenges arose when dealing with regional dialects often heard in informal markets or street-level interactions within older districts of China Beijing. The AI struggled slightly with idiomatic phrases rooted deeply in local culture, resulting in occasional literal translations that missed nuanced meanings.</w:t>
      </w:r>
    </w:p>
    <w:bookmarkEnd w:id="26"/>
    <w:bookmarkStart w:id="27" w:name="latency-and-real-time-performance"/>
    <w:p>
      <w:pPr>
        <w:pStyle w:val="Heading3"/>
      </w:pPr>
      <w:r>
        <w:t xml:space="preserve">3.2 Latency and Real-Time Performance</w:t>
      </w:r>
    </w:p>
    <w:p>
      <w:pPr>
        <w:pStyle w:val="FirstParagraph"/>
      </w:pPr>
      <w:r>
        <w:br/>
      </w:r>
      <w:r>
        <w:t xml:space="preserve">Latency remained the most critical factor for practical application of the translator interpreter tools. The average delay observed was 1.8 seconds, which falls within acceptable limits for simultaneous interpretation but may still cause slight conversational overlap during rapid exchanges. Network connectivity in densely populated areas of China Beijing occasionally caused buffering issues, highlighting the importance of robust offline capabilities integrated directly into the hardware.</w:t>
      </w:r>
    </w:p>
    <w:bookmarkEnd w:id="27"/>
    <w:bookmarkStart w:id="28" w:name="user-experience-and-adoption"/>
    <w:p>
      <w:pPr>
        <w:pStyle w:val="Heading3"/>
      </w:pPr>
      <w:r>
        <w:t xml:space="preserve">3.3 User Experience and Adoption</w:t>
      </w:r>
    </w:p>
    <w:p>
      <w:pPr>
        <w:pStyle w:val="FirstParagraph"/>
      </w:pPr>
      <w:r>
        <w:br/>
      </w:r>
      <w:r>
        <w:t xml:space="preserve">Participants reported high satisfaction with the ease of use and portability of the translator interpreter units. Many noted that hearing their own voice echoed back in a foreign language created a surreal yet empowering experience, facilitating quicker rapport building with non-native speakers. However, concerns were raised regarding privacy data handling—a crucial consideration for any sensitive discussions taking place in secure government facilities across China Beijing.</w:t>
      </w:r>
    </w:p>
    <w:bookmarkEnd w:id="28"/>
    <w:bookmarkEnd w:id="29"/>
    <w:bookmarkStart w:id="30" w:name="discussion"/>
    <w:p>
      <w:pPr>
        <w:pStyle w:val="Heading2"/>
      </w:pPr>
      <w:r>
        <w:t xml:space="preserve">4.0 Discussion</w:t>
      </w:r>
    </w:p>
    <w:p>
      <w:pPr>
        <w:pStyle w:val="FirstParagraph"/>
      </w:pPr>
      <w:r>
        <w:br/>
      </w:r>
      <w:r>
        <w:t xml:space="preserve">The success of the translator interpreter systems in China Beijing underscores the potential for AI to augment rather than replace human expertise. While automated tools excel at providing immediate, functional communication, they lack the cultural intuition and emotional intelligence that skilled human interpreters bring to complex negotiations.</w:t>
      </w:r>
    </w:p>
    <w:p>
      <w:pPr>
        <w:pStyle w:val="BodyText"/>
      </w:pPr>
      <w:r>
        <w:t xml:space="preserve">Furthermore, operating in China Beijing presents unique technological hurdles due to specific internet regulations and infrastructure configurations. The laboratory report highlights that successful implementation requires not just advanced algorithms but also localized data centers and compliance with national cybersecurity standards. This ensures that all processed language data remains within legal boundaries while delivering high-speed performance essential for modern diplomatic engagements.</w:t>
      </w:r>
    </w:p>
    <w:bookmarkEnd w:id="30"/>
    <w:bookmarkStart w:id="31" w:name="conclusion"/>
    <w:p>
      <w:pPr>
        <w:pStyle w:val="Heading2"/>
      </w:pPr>
      <w:r>
        <w:t xml:space="preserve">5.0 Conclusion</w:t>
      </w:r>
    </w:p>
    <w:p>
      <w:pPr>
        <w:pStyle w:val="FirstParagraph"/>
      </w:pPr>
      <w:r>
        <w:br/>
      </w:r>
      <w:r>
        <w:t xml:space="preserve">In conclusion, the laboratory evaluation confirms that current translator interpreter technology has reached a maturity level suitable for widespread deployment in professional settings throughout China Beijing. The combination of high accuracy rates and manageable latency makes these devices invaluable assets for businesses, diplomats, and tourists navigating the linguistic landscape of this dynamic global city.</w:t>
      </w:r>
    </w:p>
    <w:p>
      <w:pPr>
        <w:pStyle w:val="BodyText"/>
      </w:pPr>
      <w:r>
        <w:t xml:space="preserve">Future iterations should focus on enhancing dialect recognition capabilities and improving offline functionality to mitigate connectivity risks. Additionally, integrating deeper cultural context databases will allow translator interpreter systems to better capture subtleties inherent in cross-cultural communication. As China Beijing continues to expand its role on the world stage, refining these technologies will be essential for fostering greater understanding and cooperation across linguistic divides.</w:t>
      </w:r>
    </w:p>
    <w:bookmarkEnd w:id="31"/>
    <w:bookmarkStart w:id="32" w:name="recommendations"/>
    <w:p>
      <w:pPr>
        <w:pStyle w:val="Heading2"/>
      </w:pPr>
      <w:r>
        <w:t xml:space="preserve">6.0 Recommendations</w:t>
      </w:r>
    </w:p>
    <w:p>
      <w:pPr>
        <w:pStyle w:val="FirstParagraph"/>
      </w:pPr>
      <w:r>
        <w:br/>
      </w:r>
      <w:r>
        <w:t xml:space="preserve">For organizations planning to utilize translator interpreter services in China Beijing, it is recommended to:</w:t>
      </w:r>
    </w:p>
    <w:p>
      <w:pPr>
        <w:pStyle w:val="BodyText"/>
      </w:pPr>
      <w:r>
        <w:br/>
      </w:r>
    </w:p>
    <w:p>
      <w:pPr>
        <w:pStyle w:val="BodyText"/>
      </w:pPr>
      <w:r>
        <w:t xml:space="preserve">Conduct pre-event testing with local network providers to ensure stable connectivity.</w:t>
      </w:r>
    </w:p>
    <w:p>
      <w:pPr>
        <w:pStyle w:val="BodyText"/>
      </w:pPr>
      <w:r>
        <w:t xml:space="preserve">Train staff on best practices for interacting with AI translation tools to maximize accuracy.</w:t>
      </w:r>
    </w:p>
    <w:p>
      <w:pPr>
        <w:pStyle w:val="BodyText"/>
      </w:pPr>
      <w:r>
        <w:t xml:space="preserve">Maintain human interpreters as a backup resource for high-stakes negotiations where nuance is critical.</w:t>
      </w:r>
    </w:p>
    <w:p>
      <w:pPr>
        <w:pStyle w:val="BodyText"/>
      </w:pPr>
      <w:r>
        <w:t xml:space="preserve">This laboratory report concludes that the translator interpreter systems tested in China Beijing are ready for integration into mainstream international communication protocols, marking a significant step forward in global linguistic accessibility.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Translator Interpreter Systems in China Beijing</dc:title>
  <dc:creator/>
  <dc:language>en</dc:language>
  <cp:keywords/>
  <dcterms:created xsi:type="dcterms:W3CDTF">2026-07-29T09:46:16Z</dcterms:created>
  <dcterms:modified xsi:type="dcterms:W3CDTF">2026-07-29T09:46:16Z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