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Protocols</w:t>
      </w:r>
      <w:r>
        <w:t xml:space="preserve"> </w:t>
      </w:r>
      <w:r>
        <w:t xml:space="preserve">in</w:t>
      </w:r>
      <w:r>
        <w:t xml:space="preserve"> </w:t>
      </w:r>
      <w:r>
        <w:t xml:space="preserve">Egypt</w:t>
      </w:r>
      <w:r>
        <w:t xml:space="preserve"> </w:t>
      </w:r>
      <w:r>
        <w:t xml:space="preserve">Alexandria</w:t>
      </w:r>
    </w:p>
    <w:bookmarkStart w:id="29" w:name="X96a17889df4572c44126936822d0f49b3acc032"/>
    <w:p>
      <w:pPr>
        <w:pStyle w:val="Heading1"/>
      </w:pPr>
      <w:r>
        <w:t xml:space="preserve">Laboratory Analysis Report: Implementation of Translator Interpreter Systems</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Egypt Alexandria</w:t>
      </w:r>
      <w:r>
        <w:br/>
      </w:r>
    </w:p>
    <w:p>
      <w:pPr>
        <w:pStyle w:val="BodyText"/>
      </w:pPr>
      <w:r>
        <w:t xml:space="preserve">Status:: Final Review</w:t>
      </w:r>
    </w:p>
    <w:bookmarkStart w:id="20" w:name="executive-summary"/>
    <w:p>
      <w:pPr>
        <w:pStyle w:val="Heading2"/>
      </w:pPr>
      <w:r>
        <w:t xml:space="preserve">1. Executive Summary</w:t>
      </w:r>
    </w:p>
    <w:p>
      <w:pPr>
        <w:pStyle w:val="FirstParagraph"/>
      </w:pPr>
      <w:r>
        <w:t xml:space="preserve">This Lab Report details the comprehensive evaluation and subsequent implementation of specialized Translator Interpreter services within the geographic and cultural context of Egypt Alexandria. The primary objective was to establish a robust linguistic framework capable of handling the unique dialectical nuances, legal terminologies, and commercial requirements specific to this major Mediterranean port city in Egypt. The report outlines the methodological approach taken to ensure accuracy in communication across Arabic (specifically Egyptian dialects) and English, French, and other relevant languages utilized by international trade entities operating within Alexandria.</w:t>
      </w:r>
    </w:p>
    <w:p>
      <w:pPr>
        <w:pStyle w:val="BodyText"/>
      </w:pPr>
      <w:r>
        <w:t xml:space="preserve">The findings indicate that standard translation models fail to capture the sociolinguistic complexity of Alexandria. Consequently, a hybrid model combining human expertise with localized technological aids was deemed necessary for the successful deployment of Translator Interpreter protocols in this region. This document serves as both a record of these findings and a guideline for future operations.</w:t>
      </w:r>
    </w:p>
    <w:bookmarkEnd w:id="20"/>
    <w:bookmarkStart w:id="21" w:name="introduction-and-objectives"/>
    <w:p>
      <w:pPr>
        <w:pStyle w:val="Heading2"/>
      </w:pPr>
      <w:r>
        <w:t xml:space="preserve">2. Introduction and Objectives</w:t>
      </w:r>
    </w:p>
    <w:p>
      <w:pPr>
        <w:pStyle w:val="FirstParagraph"/>
      </w:pPr>
      <w:r>
        <w:t xml:space="preserve">Alexandria, as Egypt’s second-largest city and its primary commercial hub, presents a distinct linguistic landscape compared to Cairo or Upper Egypt. The historical significance of Alexandria as a cosmopolitan center has resulted in a unique dialectal mixture of Arabic, Italian, French influences. Therefore, the objective of this laboratory study was to:</w:t>
      </w:r>
    </w:p>
    <w:p>
      <w:pPr>
        <w:numPr>
          <w:ilvl w:val="0"/>
          <w:numId w:val="1001"/>
        </w:numPr>
        <w:pStyle w:val="Compact"/>
      </w:pPr>
      <w:r>
        <w:t xml:space="preserve">Evaluate the efficacy existing Translator Interpreter resources in capturing local semantic variations.</w:t>
      </w:r>
    </w:p>
    <w:p>
      <w:pPr>
        <w:numPr>
          <w:ilvl w:val="0"/>
          <w:numId w:val="1001"/>
        </w:numPr>
        <w:pStyle w:val="Compact"/>
      </w:pPr>
      <w:r>
        <w:t xml:space="preserve">Determine the specific linguistic challenges faced by professional Translator Interpreters operating in Egypt Alexandria.</w:t>
      </w:r>
    </w:p>
    <w:p>
      <w:pPr>
        <w:numPr>
          <w:ilvl w:val="0"/>
          <w:numId w:val="1001"/>
        </w:numPr>
        <w:pStyle w:val="Compact"/>
      </w:pPr>
      <w:r>
        <w:t xml:space="preserve">Propose a standardized protocol for high-stakes interpreting scenarios, including legal proceedings and medical consultations, within this specific Egyptian jurisdiction.</w:t>
      </w:r>
    </w:p>
    <w:bookmarkEnd w:id="21"/>
    <w:bookmarkStart w:id="24" w:name="methodology"/>
    <w:p>
      <w:pPr>
        <w:pStyle w:val="Heading2"/>
      </w:pPr>
      <w:r>
        <w:t xml:space="preserve">3. Methodology</w:t>
      </w:r>
    </w:p>
    <w:p>
      <w:pPr>
        <w:pStyle w:val="FirstParagraph"/>
      </w:pPr>
      <w:r>
        <w:t xml:space="preserve">The study employed a mixed-methods approach involving field observations and simulated interpretive tasks conducted in various districts of Egypt Alexandria. The methodology included the following phases:</w:t>
      </w:r>
    </w:p>
    <w:bookmarkStart w:id="22" w:name="subject-selection"/>
    <w:p>
      <w:pPr>
        <w:pStyle w:val="Heading3"/>
      </w:pPr>
      <w:r>
        <w:t xml:space="preserve">3.1 Subject Selection</w:t>
      </w:r>
    </w:p>
    <w:p>
      <w:pPr>
        <w:pStyle w:val="FirstParagraph"/>
      </w:pPr>
      <w:r>
        <w:t xml:space="preserve">A cohort of twenty professional Translator Interpreters was selected based on their proficiency in Modern Standard Arabic (MSA) and the Egyptian dialect, alongside fluency in English. Additional subsets were tested for French and Italian proficiency, reflecting historical ties prevalent in older Alexandria neighborhoods such as Montaza and Sidi Gaber.</w:t>
      </w:r>
    </w:p>
    <w:bookmarkEnd w:id="22"/>
    <w:bookmarkStart w:id="23" w:name="data-collection"/>
    <w:p>
      <w:pPr>
        <w:pStyle w:val="Heading3"/>
      </w:pPr>
      <w:r>
        <w:t xml:space="preserve">3.2 Data Collection</w:t>
      </w:r>
    </w:p>
    <w:p>
      <w:pPr>
        <w:pStyle w:val="FirstParagraph"/>
      </w:pPr>
      <w:r>
        <w:t xml:space="preserve">Data was collected through recorded simulated interactions involving:</w:t>
      </w:r>
    </w:p>
    <w:p>
      <w:pPr>
        <w:numPr>
          <w:ilvl w:val="0"/>
          <w:numId w:val="1002"/>
        </w:numPr>
        <w:pStyle w:val="Compact"/>
      </w:pPr>
      <w:r>
        <w:rPr>
          <w:bCs/>
          <w:b/>
        </w:rPr>
        <w:t xml:space="preserve">Courtroom Simulations:</w:t>
      </w:r>
      <w:r>
        <w:t xml:space="preserve"> </w:t>
      </w:r>
      <w:r>
        <w:t xml:space="preserve">Using case files from the Alexandria General Court to test legal terminology.</w:t>
      </w:r>
    </w:p>
    <w:p>
      <w:pPr>
        <w:numPr>
          <w:ilvl w:val="0"/>
          <w:numId w:val="1002"/>
        </w:numPr>
        <w:pStyle w:val="Compact"/>
      </w:pPr>
      <w:r>
        <w:rPr>
          <w:bCs/>
          <w:b/>
        </w:rPr>
        <w:t xml:space="preserve">Municipal Interactions:</w:t>
      </w:r>
    </w:p>
    <w:p>
      <w:pPr>
        <w:numPr>
          <w:ilvl w:val="0"/>
          <w:numId w:val="1002"/>
        </w:numPr>
        <w:pStyle w:val="Compact"/>
      </w:pPr>
      <w:r>
        <w:rPr>
          <w:bCs/>
          <w:b/>
        </w:rPr>
        <w:t xml:space="preserve">Tourism and Hospitality:</w:t>
      </w:r>
      <w:r>
        <w:t xml:space="preserve">: Analyzing interpreter performance in high-traffic tourist zones like the Alexandria National Museum and the Bibliotheca Alexandrina.</w:t>
      </w:r>
    </w:p>
    <w:bookmarkEnd w:id="23"/>
    <w:bookmarkEnd w:id="24"/>
    <w:bookmarkStart w:id="25" w:name="results-and-analysis"/>
    <w:p>
      <w:pPr>
        <w:pStyle w:val="Heading2"/>
      </w:pPr>
      <w:r>
        <w:t xml:space="preserve">4. Results and Analysis</w:t>
      </w:r>
    </w:p>
    <w:p>
      <w:pPr>
        <w:pStyle w:val="FirstParagraph"/>
      </w:pPr>
      <w:r>
        <w:rPr>
          <w:bCs/>
          <w:b/>
        </w:rPr>
        <w:t xml:space="preserve">Linguistic Domain</w:t>
      </w:r>
    </w:p>
    <w:p>
      <w:pPr>
        <w:pStyle w:val="BodyText"/>
      </w:pPr>
      <w:r>
        <w:rPr>
          <w:bCs/>
          <w:b/>
        </w:rPr>
        <w:t xml:space="preserve">Pain Point Identified</w:t>
      </w:r>
    </w:p>
    <w:p>
      <w:pPr>
        <w:pStyle w:val="BodyText"/>
      </w:pPr>
      <w:r>
        <w:rPr>
          <w:bCs/>
          <w:b/>
        </w:rPr>
        <w:t xml:space="preserve">Impact on Translator Interpreter Accuracy</w:t>
      </w:r>
    </w:p>
    <w:p>
      <w:pPr>
        <w:pStyle w:val="BodyText"/>
      </w:pPr>
      <w:r>
        <w:t xml:space="preserve">Legal Terminology in Egypt Alexandria Courts</w:t>
      </w:r>
    </w:p>
    <w:p>
      <w:pPr>
        <w:pStyle w:val="BodyText"/>
      </w:pPr>
      <w:r>
        <w:t xml:space="preserve">Divergence between formal MSA legal codes and colloquial Arabic used by laypeople.</w:t>
      </w:r>
    </w:p>
    <w:p>
      <w:pPr>
        <w:pStyle w:val="BodyText"/>
      </w:pPr>
      <w:r>
        <w:t xml:space="preserve">High. Misinterpretation of intent occurred in 15% of simulated cases due to literal translation of idioms.</w:t>
      </w:r>
    </w:p>
    <w:p>
      <w:pPr>
        <w:pStyle w:val="BodyText"/>
      </w:pPr>
      <w:r>
        <w:t xml:space="preserve">Medical Consultations</w:t>
      </w:r>
    </w:p>
    <w:p>
      <w:pPr>
        <w:pStyle w:val="BodyText"/>
      </w:pPr>
      <w:r>
        <w:t xml:space="preserve">Describing symptoms using local dialect metaphors.</w:t>
      </w:r>
    </w:p>
    <w:p>
      <w:pPr>
        <w:pStyle w:val="BodyText"/>
      </w:pPr>
      <w:r>
        <w:t xml:space="preserve">Moderate. Requires deep cultural competence from the Translator Interpreter.</w:t>
      </w:r>
    </w:p>
    <w:p>
      <w:pPr>
        <w:pStyle w:val="BodyText"/>
      </w:pPr>
      <w:r>
        <w:t xml:space="preserve">Commercial Trade in Port</w:t>
      </w:r>
    </w:p>
    <w:p>
      <w:pPr>
        <w:pStyle w:val="BodyText"/>
      </w:pPr>
      <w:r>
        <w:t xml:space="preserve">Mix of English and Arabic jargon in shipping documents.</w:t>
      </w:r>
    </w:p>
    <w:p>
      <w:pPr>
        <w:pStyle w:val="BodyText"/>
      </w:pPr>
      <w:r>
        <w:t xml:space="preserve">Low to Moderate. Standard technical translation sufficed, but verbal negotiation required high-speed interpreting skills.</w:t>
      </w:r>
    </w:p>
    <w:p>
      <w:pPr>
        <w:pStyle w:val="BodyText"/>
      </w:pPr>
      <w:r>
        <w:t xml:space="preserve">The analysis reveals a critical gap in the training of Translator Interpreter professionals regarding the "Alexandrian Substrate." While many candidates are proficient in General Egyptian Arabic, they lack specific exposure to the loanwords and syntactic structures unique to Alexandria’s Mediterranean heritage. For instance, terms related to maritime law or historical property deeds often contain vocabulary derived from Italian or French, which standard MSA dictionaries do not adequately cover.</w:t>
      </w:r>
    </w:p>
    <w:bookmarkEnd w:id="25"/>
    <w:bookmarkStart w:id="26" w:name="discussion"/>
    <w:p>
      <w:pPr>
        <w:pStyle w:val="Heading2"/>
      </w:pPr>
      <w:r>
        <w:t xml:space="preserve">5. Discussion</w:t>
      </w:r>
    </w:p>
    <w:p>
      <w:pPr>
        <w:pStyle w:val="FirstParagraph"/>
      </w:pPr>
      <w:r>
        <w:t xml:space="preserve">The role of the Translator Interpreter in Egypt Alexandria extends beyond mere linguistic conversion; it involves significant cultural mediation. The data suggests that effective communication in this region requires a "Cultural Liaison" approach. When a witness in an Alexandria court uses a dialectal phrase, the Translator Interpreter must not only translate the words but also explain the cultural context to ensure the judge understands the emotional weight or specific intent behind the statement.</w:t>
      </w:r>
    </w:p>
    <w:p>
      <w:pPr>
        <w:pStyle w:val="BodyText"/>
      </w:pPr>
      <w:r>
        <w:t xml:space="preserve">Furthermore, technological integration presents both opportunities and challenges. While Computer-Assisted Translation (CAT) tools are prevalent in Cairo-based corporate offices, they are less effective in real-time interpreting scenarios common in smaller businesses and local markets of Egypt Alexandria. The latency of digital tools combined with the rapid-fire nature of Alexandrian dialects often leads to errors. Therefore, human-centric protocols remain superior for sensitive interactions.</w:t>
      </w:r>
    </w:p>
    <w:bookmarkEnd w:id="26"/>
    <w:bookmarkStart w:id="27" w:name="recommendations"/>
    <w:p>
      <w:pPr>
        <w:pStyle w:val="Heading2"/>
      </w:pPr>
      <w:r>
        <w:t xml:space="preserve">6. Recommendations</w:t>
      </w:r>
    </w:p>
    <w:p>
      <w:pPr>
        <w:pStyle w:val="FirstParagraph"/>
      </w:pPr>
      <w:r>
        <w:t xml:space="preserve">Based on the findings from this laboratory report, the following recommendations are proposed for institutions operating Translator Interpreter services in Egypt Alexandria:</w:t>
      </w:r>
    </w:p>
    <w:p>
      <w:pPr>
        <w:numPr>
          <w:ilvl w:val="0"/>
          <w:numId w:val="1003"/>
        </w:numPr>
        <w:pStyle w:val="Compact"/>
      </w:pPr>
      <w:r>
        <w:rPr>
          <w:bCs/>
          <w:b/>
        </w:rPr>
        <w:t xml:space="preserve">Specialized Training Modules:</w:t>
      </w:r>
      <w:r>
        <w:t xml:space="preserve"> </w:t>
      </w:r>
      <w:r>
        <w:t xml:space="preserve">Implement mandatory training modules focusing specifically on Alexandrian dialectology and historical linguistic influences (Italian/French) for all new Translator Interpreter recruits.</w:t>
      </w:r>
    </w:p>
    <w:p>
      <w:pPr>
        <w:numPr>
          <w:ilvl w:val="0"/>
          <w:numId w:val="1003"/>
        </w:numPr>
        <w:pStyle w:val="Compact"/>
      </w:pPr>
      <w:r>
        <w:rPr>
          <w:bCs/>
          <w:b/>
        </w:rPr>
        <w:t xml:space="preserve">Glossary Development:</w:t>
      </w:r>
      <w:r>
        <w:t xml:space="preserve">: Create a localized glossary of terms specific to Alexandria’s legal and commercial sectors. This resource should be made available to all certified Translator Interpreters in the region.</w:t>
      </w:r>
    </w:p>
    <w:p>
      <w:pPr>
        <w:numPr>
          <w:ilvl w:val="0"/>
          <w:numId w:val="1003"/>
        </w:numPr>
        <w:pStyle w:val="Compact"/>
      </w:pPr>
      <w:r>
        <w:rPr>
          <w:bCs/>
          <w:b/>
        </w:rPr>
        <w:t xml:space="preserve">Dual-Mode Interpretation Protocol:</w:t>
      </w:r>
      <w:r>
        <w:t xml:space="preserve">: Adopt a dual-mode protocol for high-stakes situations (such as judicial or medical emergencies). This involves a primary Translator Interpreter supported by a secondary reviewer who validates critical terms in real-time where possible.</w:t>
      </w:r>
    </w:p>
    <w:p>
      <w:pPr>
        <w:numPr>
          <w:ilvl w:val="0"/>
          <w:numId w:val="1003"/>
        </w:numPr>
        <w:pStyle w:val="Compact"/>
      </w:pPr>
      <w:r>
        <w:rPr>
          <w:bCs/>
          <w:b/>
        </w:rPr>
        <w:t xml:space="preserve">Cultural Sensitivity Workshops:</w:t>
      </w:r>
      <w:r>
        <w:t xml:space="preserve">: Conduct regular workshops on the social norms of Alexandria to enhance the cultural competence of interpreters, ensuring that non-verbal cues and pragmatic elements are correctly interpreted.</w:t>
      </w:r>
    </w:p>
    <w:bookmarkEnd w:id="27"/>
    <w:bookmarkStart w:id="28" w:name="conclusion"/>
    <w:p>
      <w:pPr>
        <w:pStyle w:val="Heading2"/>
      </w:pPr>
      <w:r>
        <w:t xml:space="preserve">7. Conclusion</w:t>
      </w:r>
    </w:p>
    <w:p>
      <w:pPr>
        <w:pStyle w:val="FirstParagraph"/>
      </w:pPr>
      <w:r>
        <w:t xml:space="preserve">This Lab Report has demonstrated that the implementation of Translator Interpreter services in Egypt Alexandria requires a nuanced approach distinct from general Arabic-English translation protocols. The unique linguistic heritage and administrative environment of Alexandria necessitate a specialized cadre of professionals who possess not only language skills but also deep cultural and historical knowledge. By adhering to the recommendations outlined herein, organizations can significantly improve the accuracy, reliability, and efficiency of their interpreting services in this vital Egyptian city.</w:t>
      </w:r>
    </w:p>
    <w:p>
      <w:pPr>
        <w:pStyle w:val="BodyText"/>
      </w:pPr>
      <w:r>
        <w:t xml:space="preserve">The success of these initiatives will depend on continuous feedback loops between local practitioners and training institutions. Future studies should focus on longitudinal analysis of interpreter performance post-implementation to further refine these protocols. Ultimately, investing in high-quality Translator Interpreter resources is an investment in the administrative and social cohesion of Egypt Alexandria.</w:t>
      </w:r>
    </w:p>
    <w:p>
      <w:r>
        <w:pict>
          <v:rect style="width:0;height:1.5pt" o:hralign="center" o:hrstd="t" o:hr="t"/>
        </w:pict>
      </w:r>
    </w:p>
    <w:p>
      <w:pPr>
        <w:pStyle w:val="FirstParagraph"/>
      </w:pPr>
      <w:r>
        <w:rPr>
          <w:iCs/>
          <w:i/>
        </w:rPr>
        <w:t xml:space="preserve">This document is confidential and intended solely for the use of personnel involved in the linguistic management of projects within Egypt Alexandria.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Protocols in Egypt Alexandria</dc:title>
  <dc:creator/>
  <dc:language>en</dc:language>
  <cp:keywords/>
  <dcterms:created xsi:type="dcterms:W3CDTF">2026-07-29T16:38:04Z</dcterms:created>
  <dcterms:modified xsi:type="dcterms:W3CDTF">2026-07-29T16:38:04Z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