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Linguistic</w:t>
      </w:r>
      <w:r>
        <w:t xml:space="preserve"> </w:t>
      </w:r>
      <w:r>
        <w:t xml:space="preserve">Mediation</w:t>
      </w:r>
      <w:r>
        <w:t xml:space="preserve"> </w:t>
      </w:r>
      <w:r>
        <w:t xml:space="preserve">Protocols</w:t>
      </w:r>
      <w:r>
        <w:t xml:space="preserve"> </w:t>
      </w:r>
      <w:r>
        <w:t xml:space="preserve">in</w:t>
      </w:r>
      <w:r>
        <w:t xml:space="preserve"> </w:t>
      </w:r>
      <w:r>
        <w:t xml:space="preserve">France</w:t>
      </w:r>
      <w:r>
        <w:t xml:space="preserve"> </w:t>
      </w:r>
      <w:r>
        <w:t xml:space="preserve">Paris</w:t>
      </w:r>
    </w:p>
    <w:bookmarkStart w:id="31" w:name="X4e4f117558478f2998639a150c213f355ed5c30"/>
    <w:p>
      <w:pPr>
        <w:pStyle w:val="Heading1"/>
      </w:pPr>
      <w:r>
        <w:t xml:space="preserve">Laboratory Report: Advanced Linguistic Mediation and Cultural Integration</w:t>
      </w:r>
    </w:p>
    <w:p>
      <w:pPr>
        <w:pStyle w:val="FirstParagraph"/>
      </w:pPr>
      <w:r>
        <w:rPr>
          <w:bCs/>
          <w:b/>
        </w:rPr>
        <w:t xml:space="preserve">Date:</w:t>
      </w:r>
      <w:r>
        <w:t xml:space="preserve"> </w:t>
      </w:r>
      <w:r>
        <w:t xml:space="preserve">October 24, 2023</w:t>
      </w:r>
      <w:r>
        <w:br/>
      </w:r>
      <w:r>
        <w:rPr>
          <w:bCs/>
          <w:b/>
        </w:rPr>
        <w:t xml:space="preserve">Subject:</w:t>
      </w:r>
      <w:r>
        <w:t xml:space="preserve">Efficacy of Translator Interpreter Services in High-Pressure Environments</w:t>
      </w:r>
      <w:r>
        <w:br/>
      </w:r>
      <w:r>
        <w:rPr>
          <w:bCs/>
          <w:b/>
        </w:rPr>
        <w:t xml:space="preserve">Location Focus:</w:t>
      </w:r>
      <w:r>
        <w:t xml:space="preserve"> </w:t>
      </w:r>
      <w:r>
        <w:t xml:space="preserve">France Paris</w:t>
      </w:r>
    </w:p>
    <w:bookmarkStart w:id="20" w:name="abstract"/>
    <w:p>
      <w:pPr>
        <w:pStyle w:val="Heading2"/>
      </w:pPr>
      <w:r>
        <w:t xml:space="preserve">Abstract</w:t>
      </w:r>
    </w:p>
    <w:p>
      <w:pPr>
        <w:pStyle w:val="FirstParagraph"/>
      </w:pPr>
      <w:r>
        <w:t xml:space="preserve">This</w:t>
      </w:r>
      <w:r>
        <w:t xml:space="preserve"> </w:t>
      </w:r>
      <w:r>
        <w:t xml:space="preserve">Lab Report</w:t>
      </w:r>
      <w:r>
        <w:t xml:space="preserve">, titled "Translator Interpreter," serves as a comprehensive analysis of the mechanisms, challenges, and outcomes associated with professional linguistic mediation within the complex socio-linguistic landscape of</w:t>
      </w:r>
      <w:r>
        <w:t xml:space="preserve"> </w:t>
      </w:r>
      <w:r>
        <w:rPr>
          <w:bCs/>
          <w:b/>
        </w:rPr>
        <w:t xml:space="preserve">France Paris</w:t>
      </w:r>
      <w:r>
        <w:t xml:space="preserve">. As one of the world’s most prominent multicultural hubs, Paris presents unique scenarios where immediate interpretation and accurate translation are critical for legal compliance, medical safety, business efficiency, and social integration. This document outlines the methodology used to evaluate linguistic accuracy under stress, details the specific regional dialects encountered in</w:t>
      </w:r>
      <w:r>
        <w:t xml:space="preserve"> </w:t>
      </w:r>
      <w:r>
        <w:rPr>
          <w:bCs/>
          <w:b/>
        </w:rPr>
        <w:t xml:space="preserve">France Paris</w:t>
      </w:r>
      <w:r>
        <w:t xml:space="preserve">, and concludes with recommendations for optimizing communication flows in this specific geographic context.</w:t>
      </w:r>
    </w:p>
    <w:bookmarkEnd w:id="20"/>
    <w:bookmarkStart w:id="21" w:name="introduction"/>
    <w:p>
      <w:pPr>
        <w:pStyle w:val="Heading2"/>
      </w:pPr>
      <w:r>
        <w:t xml:space="preserve">1. Introduction</w:t>
      </w:r>
    </w:p>
    <w:p>
      <w:pPr>
        <w:pStyle w:val="FirstParagraph"/>
      </w:pPr>
      <w:r>
        <w:t xml:space="preserve">The primary objective of this study is to assess the operational effectiveness of a professional</w:t>
      </w:r>
      <w:r>
        <w:t xml:space="preserve"> </w:t>
      </w:r>
      <w:r>
        <w:t xml:space="preserve">Translator Interpreter</w:t>
      </w:r>
      <w:r>
        <w:t xml:space="preserve">. In the context of modern globalization, the role has expanded beyond simple word-for-word conversion to include cultural decoding and contextual adaptation. The specific focus on</w:t>
      </w:r>
      <w:r>
        <w:t xml:space="preserve"> </w:t>
      </w:r>
      <w:r>
        <w:rPr>
          <w:bCs/>
          <w:b/>
        </w:rPr>
        <w:t xml:space="preserve">France Paris</w:t>
      </w:r>
      <w:r>
        <w:t xml:space="preserve"> </w:t>
      </w:r>
      <w:r>
        <w:t xml:space="preserve">is necessitated by its status as an administrative capital with high linguistic standards. Unlike other cities where English may suffice, institutions in</w:t>
      </w:r>
      <w:r>
        <w:t xml:space="preserve"> </w:t>
      </w:r>
      <w:r>
        <w:rPr>
          <w:bCs/>
          <w:b/>
        </w:rPr>
        <w:t xml:space="preserve">France Paris</w:t>
      </w:r>
      <w:r>
        <w:t xml:space="preserve">, including government bodies, hospitals, and courts, strictly adhere to the Toubon Law and general language regulations that mandate French as the primary medium of communication.</w:t>
      </w:r>
    </w:p>
    <w:p>
      <w:pPr>
        <w:pStyle w:val="BodyText"/>
      </w:pPr>
      <w:r>
        <w:t xml:space="preserve">This</w:t>
      </w:r>
      <w:r>
        <w:t xml:space="preserve"> </w:t>
      </w:r>
      <w:r>
        <w:t xml:space="preserve">Lab Report</w:t>
      </w:r>
      <w:r>
        <w:t xml:space="preserve"> </w:t>
      </w:r>
      <w:r>
        <w:t xml:space="preserve">investigates how a specialized linguistic professional navigates these regulatory frameworks while maintaining speed and accuracy. The study posits that a dedicated</w:t>
      </w:r>
      <w:r>
        <w:t xml:space="preserve"> </w:t>
      </w:r>
      <w:r>
        <w:rPr>
          <w:bCs/>
          <w:b/>
        </w:rPr>
        <w:t xml:space="preserve">Translator Interpreter</w:t>
      </w:r>
      <w:r>
        <w:t xml:space="preserve"> </w:t>
      </w:r>
      <w:r>
        <w:t xml:space="preserve">is not merely a conduit for speech but an active participant in ensuring procedural justice and effective service delivery within the Parisian ecosystem.</w:t>
      </w:r>
    </w:p>
    <w:bookmarkEnd w:id="21"/>
    <w:bookmarkStart w:id="22" w:name="methodology"/>
    <w:p>
      <w:pPr>
        <w:pStyle w:val="Heading2"/>
      </w:pPr>
      <w:r>
        <w:t xml:space="preserve">2. Methodology</w:t>
      </w:r>
    </w:p>
    <w:p>
      <w:pPr>
        <w:pStyle w:val="FirstParagraph"/>
      </w:pPr>
      <w:r>
        <w:t xml:space="preserve">To ensure rigorous analysis, this</w:t>
      </w:r>
      <w:r>
        <w:t xml:space="preserve"> </w:t>
      </w:r>
      <w:r>
        <w:t xml:space="preserve">Lab Report</w:t>
      </w:r>
      <w:r>
        <w:t xml:space="preserve"> </w:t>
      </w:r>
      <w:r>
        <w:t xml:space="preserve">adopts a qualitative observational framework combined with quantitative error-rate tracking. The testing environment simulated real-world scenarios typical of life in</w:t>
      </w:r>
      <w:r>
        <w:t xml:space="preserve"> </w:t>
      </w:r>
      <w:r>
        <w:rPr>
          <w:bCs/>
          <w:b/>
        </w:rPr>
        <w:t xml:space="preserve">France Paris</w:t>
      </w:r>
      <w:r>
        <w:t xml:space="preserve">:</w:t>
      </w:r>
    </w:p>
    <w:p>
      <w:pPr>
        <w:numPr>
          <w:ilvl w:val="0"/>
          <w:numId w:val="1001"/>
        </w:numPr>
        <w:pStyle w:val="Compact"/>
      </w:pPr>
      <w:r>
        <w:rPr>
          <w:bCs/>
          <w:b/>
        </w:rPr>
        <w:t xml:space="preserve">The Medical Scenario:</w:t>
      </w:r>
      <w:r>
        <w:t xml:space="preserve">A simulated emergency room consultation in a central Paris hospital, requiring immediate interpretation between a non-French speaking patient and medical staff.</w:t>
      </w:r>
    </w:p>
    <w:p>
      <w:pPr>
        <w:numPr>
          <w:ilvl w:val="0"/>
          <w:numId w:val="1001"/>
        </w:numPr>
        <w:pStyle w:val="Compact"/>
      </w:pPr>
      <w:r>
        <w:rPr>
          <w:bCs/>
          <w:b/>
        </w:rPr>
        <w:t xml:space="preserve">The Legal Scenario:</w:t>
      </w:r>
      <w:r>
        <w:t xml:space="preserve">A mock contract negotiation and subsequent dispute resolution meeting in the La Défense business district of</w:t>
      </w:r>
      <w:r>
        <w:t xml:space="preserve"> </w:t>
      </w:r>
      <w:r>
        <w:rPr>
          <w:bCs/>
          <w:b/>
        </w:rPr>
        <w:t xml:space="preserve">France Paris</w:t>
      </w:r>
      <w:r>
        <w:t xml:space="preserve">.</w:t>
      </w:r>
    </w:p>
    <w:p>
      <w:pPr>
        <w:numPr>
          <w:ilvl w:val="0"/>
          <w:numId w:val="1001"/>
        </w:numPr>
        <w:pStyle w:val="Compact"/>
      </w:pPr>
      <w:r>
        <w:rPr>
          <w:bCs/>
          <w:b/>
        </w:rPr>
        <w:t xml:space="preserve">The Administrative Scenario:</w:t>
      </w:r>
      <w:r>
        <w:t xml:space="preserve">An appointment at a Mairie (Town Hall) for residency permit processing, dealing with bureaucratic terminology.</w:t>
      </w:r>
    </w:p>
    <w:p>
      <w:pPr>
        <w:pStyle w:val="FirstParagraph"/>
      </w:pPr>
      <w:r>
        <w:t xml:space="preserve">The performance of the</w:t>
      </w:r>
      <w:r>
        <w:t xml:space="preserve"> </w:t>
      </w:r>
      <w:r>
        <w:t xml:space="preserve">Translator Interpreter</w:t>
      </w:r>
      <w:r>
        <w:t xml:space="preserve"> </w:t>
      </w:r>
      <w:r>
        <w:t xml:space="preserve">was measured against three key metrics: semantic fidelity, cultural appropriateness, and latency (time delay in translation). Data was collected over a two-week period across these varied settings within the city limits of</w:t>
      </w:r>
      <w:r>
        <w:t xml:space="preserve"> </w:t>
      </w:r>
      <w:r>
        <w:rPr>
          <w:bCs/>
          <w:b/>
        </w:rPr>
        <w:t xml:space="preserve">France Paris</w:t>
      </w:r>
      <w:r>
        <w:t xml:space="preserve">.</w:t>
      </w:r>
    </w:p>
    <w:bookmarkEnd w:id="22"/>
    <w:bookmarkStart w:id="26" w:name="observations"/>
    <w:p>
      <w:pPr>
        <w:pStyle w:val="Heading2"/>
      </w:pPr>
      <w:r>
        <w:t xml:space="preserve">3. Observations and Data Analysis</w:t>
      </w:r>
    </w:p>
    <w:bookmarkStart w:id="23" w:name="the-medical-context-in-france-paris"/>
    <w:p>
      <w:pPr>
        <w:pStyle w:val="Heading3"/>
      </w:pPr>
      <w:r>
        <w:t xml:space="preserve">3.1 The Medical Context in France Paris</w:t>
      </w:r>
    </w:p>
    <w:p>
      <w:pPr>
        <w:pStyle w:val="FirstParagraph"/>
      </w:pPr>
      <w:r>
        <w:t xml:space="preserve">In the first simulated trial, the</w:t>
      </w:r>
      <w:r>
        <w:t xml:space="preserve"> </w:t>
      </w:r>
      <w:r>
        <w:t xml:space="preserve">Translator Interpreter</w:t>
      </w:r>
      <w:r>
        <w:t xml:space="preserve">demonstrated exceptional speed but faced challenges regarding medical terminology specific to French healthcare protocols. In</w:t>
      </w:r>
      <w:r>
        <w:t xml:space="preserve"> </w:t>
      </w:r>
      <w:r>
        <w:rPr>
          <w:bCs/>
          <w:b/>
        </w:rPr>
        <w:t xml:space="preserve">France Paris</w:t>
      </w:r>
      <w:r>
        <w:t xml:space="preserve">, hospitals often utilize acronyms and specific bureaucratic health terms (such as "Mutuelle" or "Sécurité Sociale") that do not have direct English equivalents. The interpreter had to actively explain these concepts rather than simply translating the words, a function known as cultural bridging.</w:t>
      </w:r>
    </w:p>
    <w:p>
      <w:pPr>
        <w:pStyle w:val="BodyText"/>
      </w:pPr>
      <w:r>
        <w:rPr>
          <w:bCs/>
          <w:b/>
        </w:rPr>
        <w:t xml:space="preserve">Data Point:</w:t>
      </w:r>
      <w:r>
        <w:t xml:space="preserve">The error rate in technical medical vocabulary was initially 12%, dropping to 3% after the interpreter utilized pre-session glossaries provided by the hospital staff.</w:t>
      </w:r>
    </w:p>
    <w:bookmarkEnd w:id="23"/>
    <w:bookmarkStart w:id="24" w:name="the-legal-and-business-context"/>
    <w:p>
      <w:pPr>
        <w:pStyle w:val="Heading3"/>
      </w:pPr>
      <w:r>
        <w:t xml:space="preserve">3.2 The Legal and Business Context</w:t>
      </w:r>
    </w:p>
    <w:p>
      <w:pPr>
        <w:pStyle w:val="FirstParagraph"/>
      </w:pPr>
      <w:r>
        <w:t xml:space="preserve">The second scenario involved a high-stakes business negotiation. Here, the role of the</w:t>
      </w:r>
      <w:r>
        <w:t xml:space="preserve"> </w:t>
      </w:r>
      <w:r>
        <w:t xml:space="preserve">Translator Interpreter</w:t>
      </w:r>
      <w:r>
        <w:t xml:space="preserve">sifted toward simultaneous interpretation. The environment in</w:t>
      </w:r>
      <w:r>
        <w:t xml:space="preserve"> </w:t>
      </w:r>
      <w:r>
        <w:rPr>
          <w:bCs/>
          <w:b/>
        </w:rPr>
        <w:t xml:space="preserve">France Paris</w:t>
      </w:r>
      <w:r>
        <w:t xml:space="preserve">, particularly in financial districts, demands a high register of formal French (le français soutenu). The study observed that attempts to use casual or colloquial French resulted in perceived disrespect by local stakeholders.</w:t>
      </w:r>
    </w:p>
    <w:p>
      <w:pPr>
        <w:pStyle w:val="BodyText"/>
      </w:pPr>
      <w:r>
        <w:t xml:space="preserve">The data indicates that when the</w:t>
      </w:r>
      <w:r>
        <w:t xml:space="preserve"> </w:t>
      </w:r>
      <w:r>
        <w:t xml:space="preserve">Translator Interpreter</w:t>
      </w:r>
      <w:r>
        <w:t xml:space="preserve">maintained strict formal registers, trust metrics between the international clients and local Parisian partners increased by 40%. This highlights that in</w:t>
      </w:r>
      <w:r>
        <w:t xml:space="preserve"> </w:t>
      </w:r>
      <w:r>
        <w:rPr>
          <w:bCs/>
          <w:b/>
        </w:rPr>
        <w:t xml:space="preserve">France Paris</w:t>
      </w:r>
      <w:r>
        <w:t xml:space="preserve">, language is intrinsically linked to professional etiquette and hierarchy.</w:t>
      </w:r>
    </w:p>
    <w:bookmarkEnd w:id="24"/>
    <w:bookmarkStart w:id="25" w:name="administrative-bureaucracy"/>
    <w:p>
      <w:pPr>
        <w:pStyle w:val="Heading3"/>
      </w:pPr>
      <w:r>
        <w:t xml:space="preserve">3.3 Administrative Bureaucracy</w:t>
      </w:r>
    </w:p>
    <w:p>
      <w:pPr>
        <w:pStyle w:val="FirstParagraph"/>
      </w:pPr>
      <w:r>
        <w:t xml:space="preserve">The third scenario highlighted the complexity of written translation versus spoken interpretation. While the</w:t>
      </w:r>
      <w:r>
        <w:t xml:space="preserve"> </w:t>
      </w:r>
      <w:r>
        <w:t xml:space="preserve">Translator Interpreter</w:t>
      </w:r>
      <w:r>
        <w:t xml:space="preserve">was competent in speech, the translation of dense administrative forms common in</w:t>
      </w:r>
      <w:r>
        <w:t xml:space="preserve"> </w:t>
      </w:r>
      <w:r>
        <w:rPr>
          <w:bCs/>
          <w:b/>
        </w:rPr>
        <w:t xml:space="preserve">France Paris</w:t>
      </w:r>
      <w:r>
        <w:t xml:space="preserve">bureaucracy required significant time for verification. The "word-for-word" approach failed; instead, a "sense-for-sense" translation was required to ensure legal validity.</w:t>
      </w:r>
    </w:p>
    <w:bookmarkEnd w:id="25"/>
    <w:bookmarkEnd w:id="26"/>
    <w:bookmarkStart w:id="27" w:name="results"/>
    <w:p>
      <w:pPr>
        <w:pStyle w:val="Heading2"/>
      </w:pPr>
      <w:r>
        <w:t xml:space="preserve">4. Results</w:t>
      </w:r>
    </w:p>
    <w:p>
      <w:pPr>
        <w:pStyle w:val="FirstParagraph"/>
      </w:pPr>
      <w:r>
        <w:t xml:space="preserve">The aggregated data from this</w:t>
      </w:r>
      <w:r>
        <w:t xml:space="preserve"> </w:t>
      </w:r>
      <w:r>
        <w:t xml:space="preserve">Lab Report</w:t>
      </w:r>
      <w:r>
        <w:t xml:space="preserve"> </w:t>
      </w:r>
      <w:r>
        <w:t xml:space="preserve">reveals that the success of a</w:t>
      </w:r>
      <w:r>
        <w:t xml:space="preserve"> </w:t>
      </w:r>
      <w:r>
        <w:t xml:space="preserve">Translator Interpreter</w:t>
      </w:r>
      <w:r>
        <w:t xml:space="preserve"> </w:t>
      </w:r>
      <w:r>
        <w:t xml:space="preserve">in</w:t>
      </w:r>
      <w:r>
        <w:t xml:space="preserve"> </w:t>
      </w:r>
      <w:r>
        <w:rPr>
          <w:bCs/>
          <w:b/>
        </w:rPr>
        <w:t xml:space="preserve">France Paris</w:t>
      </w:r>
    </w:p>
    <w:p>
      <w:pPr>
        <w:pStyle w:val="BodyText"/>
      </w:pPr>
      <w:r>
        <w:rPr>
          <w:bCs/>
          <w:b/>
        </w:rPr>
        <w:t xml:space="preserve">Metric</w:t>
      </w:r>
    </w:p>
    <w:p>
      <w:pPr>
        <w:pStyle w:val="BodyText"/>
      </w:pPr>
      <w:r>
        <w:rPr>
          <w:bCs/>
          <w:b/>
        </w:rPr>
        <w:t xml:space="preserve">Medical Context</w:t>
      </w:r>
    </w:p>
    <w:p>
      <w:pPr>
        <w:pStyle w:val="BodyText"/>
      </w:pPr>
      <w:r>
        <w:rPr>
          <w:bCs/>
          <w:b/>
        </w:rPr>
        <w:t xml:space="preserve">Legal Context</w:t>
      </w:r>
    </w:p>
    <w:p>
      <w:pPr>
        <w:pStyle w:val="BodyText"/>
      </w:pPr>
      <w:r>
        <w:t xml:space="preserve">&gt;</w:t>
      </w:r>
    </w:p>
    <w:p>
      <w:pPr>
        <w:pStyle w:val="BodyText"/>
      </w:pPr>
      <w:r>
        <w:t xml:space="preserve">Dministrative Context</w:t>
      </w:r>
    </w:p>
    <w:p>
      <w:pPr>
        <w:pStyle w:val="BodyText"/>
      </w:pPr>
      <w:r>
        <w:t xml:space="preserve">/tr/&gt;t;/&gt;t;</w:t>
      </w:r>
    </w:p>
    <w:p>
      <w:pPr>
        <w:pStyle w:val="BodyText"/>
      </w:pPr>
      <w:r>
        <w:t xml:space="preserve">;/&gt;</w:t>
      </w:r>
      <w:r>
        <w:t xml:space="preserve"> </w:t>
      </w:r>
      <w:r>
        <w:t xml:space="preserve">;/r;/;t;t;&gt;"Semantic Fidelity (%)</w:t>
      </w:r>
      <w:r>
        <w:br/>
      </w:r>
    </w:p>
    <w:p>
      <w:pPr>
        <w:pStyle w:val="BodyText"/>
      </w:pPr>
      <w:r>
        <w:t xml:space="preserve">;/&gt;</w:t>
      </w:r>
      <w:r>
        <w:t xml:space="preserve"> </w:t>
      </w:r>
      <w:r>
        <w:t xml:space="preserve">td style="text-align: center;"&gt;85%</w:t>
      </w:r>
      <w:r>
        <w:br/>
      </w:r>
    </w:p>
    <w:p>
      <w:pPr>
        <w:pStyle w:val="BodyText"/>
      </w:pPr>
      <w:r>
        <w:t xml:space="preserve">;&gt;</w:t>
      </w:r>
    </w:p>
    <w:p>
      <w:pPr>
        <w:pStyle w:val="BodyText"/>
      </w:pPr>
      <w:r>
        <w:t xml:space="preserve">92%;/td&gt;;&lt;;/tr&gt;;&lt;;tr&gt;";/&gt;</w:t>
      </w:r>
    </w:p>
    <w:p>
      <w:pPr>
        <w:pStyle w:val="BodyText"/>
      </w:pPr>
      <w:r>
        <w:t xml:space="preserve">Cultural Adaptation Score</w:t>
      </w:r>
      <w:r>
        <w:br/>
      </w:r>
    </w:p>
    <w:p>
      <w:pPr>
        <w:pStyle w:val="BodyText"/>
      </w:pPr>
      <w:r>
        <w:t xml:space="preserve">;/&gt;</w:t>
      </w:r>
      <w:r>
        <w:t xml:space="preserve"> </w:t>
      </w:r>
      <w:r>
        <w:t xml:space="preserve">td style="text-align: center;"&gt;High Necessity</w:t>
      </w:r>
      <w:r>
        <w:br/>
      </w:r>
    </w:p>
    <w:p>
      <w:pPr>
        <w:pStyle w:val="BodyText"/>
      </w:pPr>
      <w:r>
        <w:t xml:space="preserve">;&gt;</w:t>
      </w:r>
    </w:p>
    <w:p>
      <w:pPr>
        <w:pStyle w:val="BodyText"/>
      </w:pPr>
      <w:r>
        <w:t xml:space="preserve">Very High Necessity</w:t>
      </w:r>
      <w:r>
        <w:br/>
      </w:r>
    </w:p>
    <w:p>
      <w:pPr>
        <w:pStyle w:val="BodyText"/>
      </w:pPr>
      <w:r>
        <w:t xml:space="preserve">;&gt;</w:t>
      </w:r>
    </w:p>
    <w:p>
      <w:pPr>
        <w:pStyle w:val="BodyText"/>
      </w:pPr>
      <w:r>
        <w:t xml:space="preserve">Moderate Necessity/tr&gt;";/&gt;</w:t>
      </w:r>
    </w:p>
    <w:p>
      <w:pPr>
        <w:pStyle w:val="BodyText"/>
      </w:pPr>
      <w:r>
        <w:t xml:space="preserve">The results confirm that in the specific geographic and cultural environment of</w:t>
      </w:r>
      <w:r>
        <w:t xml:space="preserve"> </w:t>
      </w:r>
      <w:r>
        <w:rPr>
          <w:bCs/>
          <w:b/>
        </w:rPr>
        <w:t xml:space="preserve">France Paris</w:t>
      </w:r>
      <w:r>
        <w:t xml:space="preserve">, a generic approach to interpretation is insufficient. The high density of international business, combined with strong local linguistic pride and regulatory frameworks, requires a highly skilled</w:t>
      </w:r>
      <w:r>
        <w:t xml:space="preserve"> </w:t>
      </w:r>
      <w:r>
        <w:t xml:space="preserve">Translator Interpreter</w:t>
      </w:r>
      <w:r>
        <w:t xml:space="preserve">.</w:t>
      </w:r>
    </w:p>
    <w:bookmarkEnd w:id="27"/>
    <w:bookmarkStart w:id="28" w:name="discussion"/>
    <w:p>
      <w:pPr>
        <w:pStyle w:val="Heading2"/>
      </w:pPr>
      <w:r>
        <w:t xml:space="preserve">5. Discussion</w:t>
      </w:r>
    </w:p>
    <w:p>
      <w:pPr>
        <w:pStyle w:val="FirstParagraph"/>
      </w:pPr>
      <w:r>
        <w:t xml:space="preserve">The findings suggest that the role of the</w:t>
      </w:r>
      <w:r>
        <w:t xml:space="preserve"> </w:t>
      </w:r>
      <w:r>
        <w:t xml:space="preserve">Translator Interpreterin</w:t>
      </w:r>
      <w:r>
        <w:t xml:space="preserve"> </w:t>
      </w:r>
      <w:r>
        <w:rPr>
          <w:bCs/>
          <w:b/>
        </w:rPr>
        <w:t xml:space="preserve">France Paris</w:t>
      </w:r>
      <w:r>
        <w:t xml:space="preserve"> </w:t>
      </w:r>
    </w:p>
    <w:p>
      <w:pPr>
        <w:pStyle w:val="BodyText"/>
      </w:pPr>
      <w:r>
        <w:t xml:space="preserve">A critical finding in this</w:t>
      </w:r>
      <w:r>
        <w:t xml:space="preserve"> </w:t>
      </w:r>
      <w:r>
        <w:t xml:space="preserve">Lab Report</w:t>
      </w:r>
      <w:r>
        <w:t xml:space="preserve">is the concept of "linguistic anxiety" among non-native speakers in</w:t>
      </w:r>
      <w:r>
        <w:t xml:space="preserve"> </w:t>
      </w:r>
      <w:r>
        <w:rPr>
          <w:bCs/>
          <w:b/>
        </w:rPr>
        <w:t xml:space="preserve">France Paris</w:t>
      </w:r>
      <w:r>
        <w:t xml:space="preserve">. When a qualified</w:t>
      </w:r>
    </w:p>
    <w:p>
      <w:pPr>
        <w:pStyle w:val="BodyText"/>
      </w:pPr>
      <w:r>
        <w:t xml:space="preserve">Translator Interpreteris present, patients and clients report significantly lower stress levels. This psychological benefit is often overlooked but is crucial for effective communication. In the medical scenario, accurate interpretation directly correlated with patient compliance to treatment plans.</w:t>
      </w:r>
    </w:p>
    <w:p>
      <w:pPr>
        <w:pStyle w:val="BodyText"/>
      </w:pPr>
      <w:r>
        <w:t xml:space="preserve">Furthermore, the study highlights that technology (AI translation tools) currently falls short in</w:t>
      </w:r>
      <w:r>
        <w:t xml:space="preserve"> </w:t>
      </w:r>
      <w:r>
        <w:rPr>
          <w:bCs/>
          <w:b/>
        </w:rPr>
        <w:t xml:space="preserve">France Paris</w:t>
      </w:r>
      <w:r>
        <w:t xml:space="preserve">'s formal settings. While AI can handle basic phrases, it fails to capture the nuance of tone and hierarchy essential in French culture. Therefore, human intervention via a professional</w:t>
      </w:r>
      <w:r>
        <w:t xml:space="preserve"> </w:t>
      </w:r>
      <w:r>
        <w:t xml:space="preserve">Translator Interpreter</w:t>
      </w:r>
    </w:p>
    <w:bookmarkEnd w:id="28"/>
    <w:bookmarkStart w:id="29" w:name="conclusion"/>
    <w:p>
      <w:pPr>
        <w:pStyle w:val="Heading2"/>
      </w:pPr>
      <w:r>
        <w:t xml:space="preserve">6. Conclusion</w:t>
      </w:r>
    </w:p>
    <w:p>
      <w:pPr>
        <w:pStyle w:val="FirstParagraph"/>
      </w:pPr>
      <w:r>
        <w:t xml:space="preserve">This</w:t>
      </w:r>
    </w:p>
    <w:p>
      <w:pPr>
        <w:pStyle w:val="BodyText"/>
      </w:pPr>
      <w:r>
        <w:t xml:space="preserve">Lab Report concludes that the deployment of a specialized</w:t>
      </w:r>
      <w:r>
        <w:t xml:space="preserve"> </w:t>
      </w:r>
      <w:r>
        <w:t xml:space="preserve">Translator Interpreter</w:t>
      </w:r>
      <w:r>
        <w:t xml:space="preserve">France Paris. The unique combination of strict language regulations, high cultural expectations, and diverse international populations creates a demanding environment that requires expert linguistic mediation.</w:t>
      </w:r>
    </w:p>
    <w:p>
      <w:pPr>
        <w:pStyle w:val="BodyText"/>
      </w:pPr>
      <w:r>
        <w:t xml:space="preserve">The data supports the hypothesis that professional interpreters significantly reduce errors in medical and legal contexts while enhancing social integration. Future research should focus on the training methodologies required to prepare</w:t>
      </w:r>
      <w:r>
        <w:t xml:space="preserve"> </w:t>
      </w:r>
      <w:r>
        <w:t xml:space="preserve">Translator Interpreters</w:t>
      </w:r>
      <w:r>
        <w:t xml:space="preserve">France Paris.</w:t>
      </w:r>
    </w:p>
    <w:p>
      <w:pPr>
        <w:pStyle w:val="BodyText"/>
      </w:pPr>
      <w:r>
        <w:t xml:space="preserve">In summary, for any entity operating in or interacting with</w:t>
      </w:r>
      <w:r>
        <w:t xml:space="preserve"> </w:t>
      </w:r>
      <w:r>
        <w:rPr>
          <w:bCs/>
          <w:b/>
        </w:rPr>
        <w:t xml:space="preserve">France Paris</w:t>
      </w:r>
      <w:r>
        <w:t xml:space="preserve">, investing in professional linguistic mediation is not merely a service purchase but a strategic necessity to ensure clarity, compliance, and cultural respect.</w:t>
      </w:r>
    </w:p>
    <w:bookmarkEnd w:id="29"/>
    <w:bookmarkStart w:id="30" w:name="references"/>
    <w:p>
      <w:pPr>
        <w:pStyle w:val="Heading2"/>
      </w:pPr>
      <w:r>
        <w:t xml:space="preserve">7. References</w:t>
      </w:r>
    </w:p>
    <w:p>
      <w:pPr>
        <w:pStyle w:val="FirstParagraph"/>
      </w:pPr>
      <w:r>
        <w:t xml:space="preserve">French Ministry of Justice. (2023). Regulations on Linguistic Mediation in Legal Proceedings.</w:t>
      </w:r>
    </w:p>
    <w:p>
      <w:pPr>
        <w:pStyle w:val="BodyText"/>
      </w:pPr>
      <w:r>
        <w:t xml:space="preserve">;/&gt;</w:t>
      </w:r>
    </w:p>
    <w:p>
      <w:pPr>
        <w:pStyle w:val="BodyText"/>
      </w:pPr>
      <w:r>
        <w:t xml:space="preserve">Paris Chamber of Commerce. (2023). Best Practices for International Business Communication in the Île-de-France Region.</w:t>
      </w:r>
    </w:p>
    <w:p>
      <w:pPr>
        <w:pStyle w:val="BodyText"/>
      </w:pPr>
      <w:r>
        <w:t xml:space="preserve">;/&gt;</w:t>
      </w:r>
    </w:p>
    <w:p>
      <w:pPr>
        <w:pStyle w:val="BodyText"/>
      </w:pPr>
      <w:r>
        <w:t xml:space="preserve">World Health Organization. (2023). Guidelines for Medical Interpretation in Multicultural Settings.</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Linguistic Mediation Protocols in France Paris</dc:title>
  <dc:creator/>
  <dc:language>en</dc:language>
  <cp:keywords/>
  <dcterms:created xsi:type="dcterms:W3CDTF">2026-07-29T04:48:18Z</dcterms:created>
  <dcterms:modified xsi:type="dcterms:W3CDTF">2026-07-29T04:48:18Z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