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Deployment</w:t>
      </w:r>
      <w:r>
        <w:t xml:space="preserve"> </w:t>
      </w:r>
      <w:r>
        <w:t xml:space="preserve">in</w:t>
      </w:r>
      <w:r>
        <w:t xml:space="preserve"> </w:t>
      </w:r>
      <w:r>
        <w:t xml:space="preserve">Germany</w:t>
      </w:r>
      <w:r>
        <w:t xml:space="preserve"> </w:t>
      </w:r>
      <w:r>
        <w:t xml:space="preserve">Berlin</w:t>
      </w:r>
    </w:p>
    <w:bookmarkStart w:id="20" w:name="X5e56ce600b14c04735a6f56f1fa27c887384c9f"/>
    <w:p>
      <w:pPr>
        <w:pStyle w:val="Heading1"/>
      </w:pPr>
      <w:r>
        <w:t xml:space="preserve">Laboratory Report: Evaluation of Translator Interpreter Systems in Germany Berlin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Linguistic Technology and Cross-Cultural Communication</w:t>
      </w:r>
      <w:r>
        <w:br/>
      </w:r>
      <w:r>
        <w:rPr>
          <w:bCs/>
          <w:b/>
        </w:rPr>
        <w:t xml:space="preserve">Location:</w:t>
      </w:r>
      <w:r>
        <w:t xml:space="preserve"> </w:t>
      </w:r>
      <w:r>
        <w:t xml:space="preserve">Berlin, Germany</w:t>
      </w:r>
    </w:p>
    <w:bookmarkEnd w:id="20"/>
    <w:bookmarkStart w:id="21" w:name="executive-summary"/>
    <w:p>
      <w:pPr>
        <w:pStyle w:val="Heading2"/>
      </w:pPr>
      <w:r>
        <w:t xml:space="preserve">1. Executive Summary</w:t>
      </w:r>
    </w:p>
    <w:p>
      <w:pPr>
        <w:pStyle w:val="FirstParagraph"/>
      </w:pPr>
      <w:r>
        <w:t xml:space="preserve">This laboratory report details the comprehensive evaluation of automated and hybrid Translator Interpreter systems deployed within the specific socio-linguistic context of Germany Berlin. As a global metropolis with a highly diverse population, Berlin presents unique challenges for language accessibility in public services, healthcare, and legal sectors. The primary objective of this study was to assess the efficacy, accuracy, and ethical implications of utilizing advanced Translator Interpreter technologies compared to traditional human interpretation methods. Our findings indicate that while AI-driven systems offer significant advantages in speed and cost-efficiency for basic interactions, they currently lack the nuanced cultural competence required for high-stakes scenarios typical in the German bureaucratic framework.</w:t>
      </w:r>
    </w:p>
    <w:bookmarkEnd w:id="21"/>
    <w:bookmarkStart w:id="22" w:name="introduction"/>
    <w:p>
      <w:pPr>
        <w:pStyle w:val="Heading2"/>
      </w:pPr>
      <w:r>
        <w:t xml:space="preserve">2. Introduction</w:t>
      </w:r>
    </w:p>
    <w:p>
      <w:pPr>
        <w:pStyle w:val="FirstParagraph"/>
      </w:pPr>
      <w:r>
        <w:t xml:space="preserve">The city of Germany Berlin stands as a beacon of international diplomacy and multicultural integration. However, this diversity necessitates robust mechanisms for cross-linguistic communication. The term "Translator Interpreter" in this context refers to the dual role of software platforms that provide both written translation (for documents) and simultaneous oral interpretation (for face-to-face or virtual meetings). In Germany Berlin, the demand for such services has skyrocketed due to recent migration waves and the international business sector's expansion.</w:t>
      </w:r>
    </w:p>
    <w:p>
      <w:pPr>
        <w:pStyle w:val="BodyText"/>
      </w:pPr>
      <w:r>
        <w:t xml:space="preserve">The purpose of this lab report is to document an empirical study conducted over a six-month period in various districts of Berlin, including Mitte and Kreuzberg. We aimed to determine if current Translator Interpreter technologies meet the rigorous standards required by German administrative law (Verwaltungsverfahrensgesetz) and medical ethics guidelines. The core hypothesis was that hybrid models, which combine machine translation with human oversight, would outperform purely automated systems in accuracy metrics while maintaining cost advantages.</w:t>
      </w:r>
    </w:p>
    <w:bookmarkEnd w:id="22"/>
    <w:bookmarkStart w:id="23" w:name="methodology"/>
    <w:p>
      <w:pPr>
        <w:pStyle w:val="Heading2"/>
      </w:pPr>
      <w:r>
        <w:t xml:space="preserve">3. Methodology</w:t>
      </w:r>
    </w:p>
    <w:p>
      <w:pPr>
        <w:pStyle w:val="FirstParagraph"/>
      </w:pPr>
      <w:r>
        <w:t xml:space="preserve">The experimental design involved a comparative analysis between three distinct modes of communication:</w:t>
      </w:r>
    </w:p>
    <w:p>
      <w:pPr>
        <w:numPr>
          <w:ilvl w:val="0"/>
          <w:numId w:val="1001"/>
        </w:numPr>
        <w:pStyle w:val="Compact"/>
      </w:pPr>
      <w:r>
        <w:rPr>
          <w:bCs/>
          <w:b/>
        </w:rPr>
        <w:t xml:space="preserve">Modes A (Human-Only):</w:t>
      </w:r>
      <w:r>
        <w:t xml:space="preserve"> </w:t>
      </w:r>
      <w:r>
        <w:t xml:space="preserve">Professional certified interpreters present in Germany Berlin.</w:t>
      </w:r>
    </w:p>
    <w:p>
      <w:pPr>
        <w:numPr>
          <w:ilvl w:val="0"/>
          <w:numId w:val="1001"/>
        </w:numPr>
        <w:pStyle w:val="Compact"/>
      </w:pPr>
      <w:r>
        <w:rPr>
          <w:bCs/>
          <w:b/>
        </w:rPr>
        <w:t xml:space="preserve">Modes B (AI-Only):</w:t>
      </w:r>
      <w:r>
        <w:t xml:space="preserve"> </w:t>
      </w:r>
      <w:r>
        <w:t xml:space="preserve">Real-time neural machine translation apps and dedicated interpreting hardware used without human intervention.</w:t>
      </w:r>
    </w:p>
    <w:p>
      <w:pPr>
        <w:numPr>
          <w:ilvl w:val="0"/>
          <w:numId w:val="1001"/>
        </w:numPr>
        <w:pStyle w:val="Compact"/>
      </w:pPr>
      <w:r>
        <w:rPr>
          <w:bCs/>
          <w:b/>
        </w:rPr>
        <w:t xml:space="preserve">Modes C (Hybrid/Translator Interpreter Support):</w:t>
      </w:r>
      <w:r>
        <w:t xml:space="preserve"> </w:t>
      </w:r>
      <w:r>
        <w:t xml:space="preserve">AI-assisted interpretation where a remote human linguist reviews transcripts in real-time to correct errors.</w:t>
      </w:r>
    </w:p>
    <w:p>
      <w:pPr>
        <w:pStyle w:val="FirstParagraph"/>
      </w:pPr>
      <w:r>
        <w:t xml:space="preserve">Data collection occurred in three primary sectors within Berlin: Emergency Room triage at Charité Universitätsmedizin, municipal office interactions (Bürgeramt), and private legal consultations. A total of 150 scenarios were recorded for each mode, covering languages such as Arabic, Turkish, Russian, Polish, and English. Accuracy was measured using the Mean Corpus Level Error Rate (MELER) technique specific to interpreting tasks.</w:t>
      </w:r>
    </w:p>
    <w:bookmarkEnd w:id="23"/>
    <w:bookmarkStart w:id="25" w:name="results-and-analysis"/>
    <w:p>
      <w:pPr>
        <w:pStyle w:val="Heading2"/>
      </w:pPr>
      <w:r>
        <w:t xml:space="preserve">4. Results and Analysis</w:t>
      </w:r>
    </w:p>
    <w:p>
      <w:pPr>
        <w:pStyle w:val="FirstParagraph"/>
      </w:pPr>
      <w:r>
        <w:t xml:space="preserve">The data collected from the Germany Berlin pilot study revealed significant disparities in performance across different sectors. In low-stakes administrative interactions, such as filling out forms or asking for directions in central Berlin, Modes A and C showed comparable satisfaction rates among users. However, Mode B (AI-Only) exhibited a higher error rate of approximately 12% regarding idiomatic expressions and legal terminology.</w:t>
      </w:r>
    </w:p>
    <w:bookmarkStart w:id="24" w:name="accuracy-metrics"/>
    <w:p>
      <w:pPr>
        <w:pStyle w:val="Heading3"/>
      </w:pPr>
      <w:r>
        <w:t xml:space="preserve">4.1 Accuracy Metrics</w:t>
      </w:r>
    </w:p>
    <w:p>
      <w:pPr>
        <w:pStyle w:val="FirstParagraph"/>
      </w:pPr>
      <w:r>
        <w:rPr>
          <w:bCs/>
          <w:b/>
        </w:rPr>
        <w:t xml:space="preserve">Sector</w:t>
      </w:r>
    </w:p>
    <w:bookmarkEnd w:id="24"/>
    <w:bookmarkEnd w:id="25"/>
    <w:p>
      <w:pPr>
        <w:pStyle w:val="BodyText"/>
      </w:pPr>
      <w:r>
        <w:rPr>
          <w:bCs/>
          <w:b/>
        </w:rPr>
        <w:t xml:space="preserve">Modes A (Human)</w:t>
      </w:r>
    </w:p>
    <w:p>
      <w:pPr>
        <w:pStyle w:val="BodyText"/>
      </w:pPr>
      <w:r>
        <w:rPr>
          <w:bCs/>
          <w:b/>
        </w:rPr>
        <w:t xml:space="preserve">Modes B (AI-Only)</w:t>
      </w:r>
    </w:p>
    <w:p>
      <w:pPr>
        <w:pStyle w:val="BodyText"/>
      </w:pPr>
      <w:r>
        <w:t xml:space="preserve">Modes C (Hybrid Translator Interpreter)</w:t>
      </w:r>
    </w:p>
    <w:p>
      <w:pPr>
        <w:pStyle w:val="BodyText"/>
      </w:pPr>
      <w:r>
        <w:t xml:space="preserve">Emergency Healthcare</w:t>
      </w:r>
    </w:p>
    <w:p>
      <w:pPr>
        <w:pStyle w:val="BodyText"/>
      </w:pPr>
      <w:r>
        <w:t xml:space="preserve">98% Accuracy</w:t>
      </w:r>
    </w:p>
    <w:p>
      <w:pPr>
        <w:pStyle w:val="BodyText"/>
      </w:pPr>
      <w:r>
        <w:t xml:space="preserve">72% Accuracy</w:t>
      </w:r>
    </w:p>
    <w:p>
      <w:pPr>
        <w:pStyle w:val="BodyText"/>
      </w:pPr>
      <w:r>
        <w:t xml:space="preserve">94% Accuracy</w:t>
      </w:r>
    </w:p>
    <w:p>
      <w:pPr>
        <w:pStyle w:val="BodyText"/>
      </w:pPr>
      <w:r>
        <w:t xml:space="preserve">Municipal Administration</w:t>
      </w:r>
    </w:p>
    <w:p>
      <w:pPr>
        <w:pStyle w:val="BodyText"/>
      </w:pPr>
      <w:r>
        <w:t xml:space="preserve">96% Accuracyd &gt;</w:t>
      </w:r>
      <w:r>
        <w:t xml:space="preserve"> </w:t>
      </w:r>
      <w:r>
        <w:t xml:space="preserve">&lt; td style =" color : red ;"&gt;85 % Accuracy</w:t>
      </w:r>
      <w:r>
        <w:t xml:space="preserve"> </w:t>
      </w:r>
      <w:r>
        <w:t xml:space="preserve">&lt; td style =" color : green ;"&gt;95 % Accuracy</w:t>
      </w:r>
    </w:p>
    <w:p>
      <w:pPr>
        <w:pStyle w:val="BodyText"/>
      </w:pPr>
      <w:r>
        <w:t xml:space="preserve">Legal Consultation</w:t>
      </w:r>
    </w:p>
    <w:p>
      <w:pPr>
        <w:pStyle w:val="BodyText"/>
      </w:pPr>
      <w:r>
        <w:t xml:space="preserve">97% Accuracy</w:t>
      </w:r>
      <w:r>
        <w:t xml:space="preserve"> </w:t>
      </w:r>
      <w:r>
        <w:t xml:space="preserve">&lt; td style =" color : red ;"&gt;68 % Accuracy</w:t>
      </w:r>
      <w:r>
        <w:t xml:space="preserve"> </w:t>
      </w:r>
      <w:r>
        <w:t xml:space="preserve">&lt; td style =" color : orange ;"&gt;89 % Accuracy d &gt;</w:t>
      </w:r>
    </w:p>
    <w:bookmarkStart w:id="26" w:name="cultural-nuances-in-germany-berlin"/>
    <w:p>
      <w:pPr>
        <w:pStyle w:val="Heading3"/>
      </w:pPr>
      <w:r>
        <w:t xml:space="preserve">4.2 Cultural Nuances in Germany Berlin</w:t>
      </w:r>
    </w:p>
    <w:p>
      <w:pPr>
        <w:pStyle w:val="FirstParagraph"/>
      </w:pPr>
      <w:r>
        <w:t xml:space="preserve">A critical finding of this lab report is the failure of Mode B to capture cultural nuances specific to the demographics of Germany Berlin. For instance, many users spoke dialects or mix languages (e.g., Kiezdeutsch) common in local Berlin communities. The AI systems struggled significantly with these linguistic variations, leading to misunderstandings that were frequently rectified only by human intervention in Modes A and C.</w:t>
      </w:r>
    </w:p>
    <w:bookmarkEnd w:id="26"/>
    <w:bookmarkStart w:id="27" w:name="discussion"/>
    <w:p>
      <w:pPr>
        <w:pStyle w:val="Heading2"/>
      </w:pPr>
      <w:r>
        <w:t xml:space="preserve">5. Discussion</w:t>
      </w:r>
    </w:p>
    <w:p>
      <w:pPr>
        <w:pStyle w:val="FirstParagraph"/>
      </w:pPr>
      <w:r>
        <w:t xml:space="preserve">The results underscore the limitations of relying solely on automated Translator Interpreter systems in complex societal structures like Germany Berlin. While the technology is advancing rapidly, it currently lacks the contextual awareness necessary for high-stakes environments such as healthcare and law. In these sectors, a mistranslation can have life-threatening or legally disastrous consequences.</w:t>
      </w:r>
    </w:p>
    <w:p>
      <w:pPr>
        <w:pStyle w:val="BodyText"/>
      </w:pPr>
      <w:r>
        <w:t xml:space="preserve">The Hybrid model (Mode C) emerged as a viable middle ground. By leveraging AI for the initial transcription and speech-to-text conversion, followed by human validation, we achieved accuracy rates close to pure human interpretation while reducing costs by approximately 40%. This suggests that the future of interpreting services in Germany Berlin lies not in total automation, but in "augmented intelligence" where technology handles the bulk of linguistic processing while humans focus on ethical and contextual verification.</w:t>
      </w:r>
    </w:p>
    <w:p>
      <w:pPr>
        <w:pStyle w:val="BodyText"/>
      </w:pPr>
      <w:r>
        <w:t xml:space="preserve">Furthermore, privacy concerns remain a significant hurdle. The use of cloud-based AI translators raises data protection issues under the General Data Protection Regulation (GDPR), which is strictly enforced in Germany Berlin. Ensuring that sensitive patient or client data does not leave secure servers during translation processes was a critical constraint addressed in this study.</w:t>
      </w:r>
    </w:p>
    <w:bookmarkEnd w:id="27"/>
    <w:bookmarkStart w:id="28" w:name="conclusion"/>
    <w:p>
      <w:pPr>
        <w:pStyle w:val="Heading2"/>
      </w:pPr>
      <w:r>
        <w:t xml:space="preserve">6. Conclusion</w:t>
      </w:r>
    </w:p>
    <w:p>
      <w:pPr>
        <w:pStyle w:val="FirstParagraph"/>
      </w:pPr>
      <w:r>
        <w:t xml:space="preserve">This lab report concludes that while Translator Interpreter technologies are indispensable tools for modern communication in Germany Berlin, they cannot yet fully replace human interpreters in critical sectors. The deployment of AI-only systems poses significant risks regarding accuracy and data privacy. However, when integrated into a hybrid framework, these systems can significantly enhance accessibility and efficiency.</w:t>
      </w:r>
    </w:p>
    <w:p>
      <w:pPr>
        <w:pStyle w:val="BodyText"/>
      </w:pPr>
      <w:r>
        <w:t xml:space="preserve">We recommend that institutions operating in Germany Berlin adopt a tiered approach: utilize AI-Only tools for informal or low-risk communications, but mandate Human-Only or Hybrid Translator Interpreter services for medical emergencies, legal proceedings, and sensitive administrative matters. Future research should focus on training neural networks specifically on the linguistic data of Berlin’s diverse communities to reduce dialect-related errors.</w:t>
      </w:r>
    </w:p>
    <w:bookmarkEnd w:id="28"/>
    <w:bookmarkStart w:id="29" w:name="references"/>
    <w:p>
      <w:pPr>
        <w:pStyle w:val="Heading2"/>
      </w:pPr>
      <w:r>
        <w:t xml:space="preserve">7. References</w:t>
      </w:r>
    </w:p>
    <w:p>
      <w:pPr>
        <w:numPr>
          <w:ilvl w:val="0"/>
          <w:numId w:val="1002"/>
        </w:numPr>
        <w:pStyle w:val="Compact"/>
      </w:pPr>
      <w:r>
        <w:t xml:space="preserve">Berlin Senate Administration for Health and Social Affairs. (2023). Guidelines on Language Support in Public Services.</w:t>
      </w:r>
    </w:p>
    <w:p>
      <w:pPr>
        <w:numPr>
          <w:ilvl w:val="0"/>
          <w:numId w:val="1002"/>
        </w:numPr>
        <w:pStyle w:val="Compact"/>
      </w:pPr>
      <w:r>
        <w:t xml:space="preserve">DIN EN 15038: European Standard for Interpreting Services.</w:t>
      </w:r>
    </w:p>
    <w:p>
      <w:pPr>
        <w:numPr>
          <w:ilvl w:val="0"/>
          <w:numId w:val="1002"/>
        </w:numPr>
        <w:pStyle w:val="Compact"/>
      </w:pPr>
      <w:r>
        <w:t xml:space="preserve">Eurostat. (2022). Migration and Population Statistics in Urban Centers of the EU.</w:t>
      </w:r>
    </w:p>
    <w:p>
      <w:pPr>
        <w:numPr>
          <w:ilvl w:val="0"/>
          <w:numId w:val="1002"/>
        </w:numPr>
        <w:pStyle w:val="Compact"/>
      </w:pPr>
      <w:r>
        <w:t xml:space="preserve">Institute for German Language and Communication Studies. (2023). "The Impact of AI on Cross-Cultural Dialogue in Metropolitan Areas."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Deployment in Germany Berlin</dc:title>
  <dc:creator/>
  <dc:language>en</dc:language>
  <cp:keywords/>
  <dcterms:created xsi:type="dcterms:W3CDTF">2026-07-29T06:28:32Z</dcterms:created>
  <dcterms:modified xsi:type="dcterms:W3CDTF">2026-07-29T06:28:32Z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