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Translator</w:t>
      </w:r>
      <w:r>
        <w:t xml:space="preserve"> </w:t>
      </w:r>
      <w:r>
        <w:t xml:space="preserve">Interpreter</w:t>
      </w:r>
      <w:r>
        <w:t xml:space="preserve"> </w:t>
      </w:r>
      <w:r>
        <w:t xml:space="preserve">Deployment</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29" w:name="X10a6fb178d39a45d534780362756c01678f8bb9"/>
    <w:p>
      <w:pPr>
        <w:pStyle w:val="Heading1"/>
      </w:pPr>
      <w:r>
        <w:rPr>
          <w:bCs/>
          <w:b/>
        </w:rPr>
        <w:t xml:space="preserve">Laboratory Report</w:t>
      </w:r>
      <w:r>
        <w:t xml:space="preserve">: Evaluation of</w:t>
      </w:r>
      <w:r>
        <w:t xml:space="preserve"> </w:t>
      </w:r>
      <w:r>
        <w:rPr>
          <w:bCs/>
          <w:b/>
        </w:rPr>
        <w:t xml:space="preserve">Translator Interpreter</w:t>
      </w:r>
      <w:r>
        <w:t xml:space="preserve"> </w:t>
      </w:r>
      <w:r>
        <w:t xml:space="preserve">Solutions for Deployment in</w:t>
      </w:r>
      <w:r>
        <w:t xml:space="preserve"> </w:t>
      </w:r>
      <w:r>
        <w:rPr>
          <w:bCs/>
          <w:b/>
        </w:rPr>
        <w:t xml:space="preserve">Germany Frankfurt</w:t>
      </w:r>
    </w:p>
    <w:p>
      <w:pPr>
        <w:pStyle w:val="FirstParagraph"/>
      </w:pPr>
      <w:r>
        <w:br/>
      </w:r>
    </w:p>
    <w:p>
      <w:pPr>
        <w:pStyle w:val="BodyText"/>
      </w:pPr>
      <w:r>
        <w:rPr>
          <w:iCs/>
          <w:i/>
        </w:rPr>
        <w:t xml:space="preserve">Date:</w:t>
      </w:r>
      <w:r>
        <w:t xml:space="preserve"> </w:t>
      </w:r>
      <w:r>
        <w:t xml:space="preserve">October 26, 2023</w:t>
      </w:r>
      <w:r>
        <w:br/>
      </w:r>
      <w:r>
        <w:rPr>
          <w:iCs/>
          <w:i/>
        </w:rPr>
        <w:t xml:space="preserve">Institution:</w:t>
      </w:r>
      <w:r>
        <w:t xml:space="preserve"> </w:t>
      </w:r>
      <w:r>
        <w:t xml:space="preserve">Global Communication Technology Division</w:t>
      </w:r>
      <w:r>
        <w:br/>
      </w:r>
      <w:r>
        <w:rPr>
          <w:iCs/>
          <w:i/>
        </w:rPr>
        <w:t xml:space="preserve">Filing Region:</w:t>
      </w:r>
      <w:r>
        <w:t xml:space="preserve"> </w:t>
      </w:r>
      <w:r>
        <w:rPr>
          <w:bCs/>
          <w:b/>
        </w:rPr>
        <w:t xml:space="preserve">Germany Frankfurt</w:t>
      </w:r>
    </w:p>
    <w:p>
      <w:pPr>
        <w:pStyle w:val="BodyText"/>
      </w:pPr>
      <w:r>
        <w:br/>
      </w:r>
    </w:p>
    <w:p>
      <w:r>
        <w:pict>
          <v:rect style="width:0;height:1.5pt" o:hralign="center" o:hrstd="t" o:hr="t"/>
        </w:pict>
      </w:r>
    </w:p>
    <w:p>
      <w:pPr>
        <w:pStyle w:val="FirstParagraph"/>
      </w:pPr>
      <w:r>
        <w:br/>
      </w:r>
    </w:p>
    <w:bookmarkStart w:id="20" w:name="i.-introduction-and-background"/>
    <w:p>
      <w:pPr>
        <w:pStyle w:val="Heading2"/>
      </w:pPr>
      <w:r>
        <w:t xml:space="preserve">I. Introduction and Background</w:t>
      </w:r>
    </w:p>
    <w:p>
      <w:pPr>
        <w:pStyle w:val="FirstParagraph"/>
      </w:pPr>
      <w:r>
        <w:br/>
      </w:r>
    </w:p>
    <w:p>
      <w:pPr>
        <w:pStyle w:val="BodyText"/>
      </w:pPr>
      <w:r>
        <w:t xml:space="preserve">The rapid globalization of commerce has made linguistic barriers a primary concern for multinational organizations seeking to establish operational bases within key European financial hubs.</w:t>
      </w:r>
      <w:r>
        <w:t xml:space="preserve"> </w:t>
      </w:r>
      <w:r>
        <w:rPr>
          <w:bCs/>
          <w:b/>
        </w:rPr>
        <w:t xml:space="preserve">Germany Frankfurt</w:t>
      </w:r>
      <w:r>
        <w:t xml:space="preserve">, as the leading economic center of the country and one of Europe's most critical financial districts, presents a unique testing ground for advanced communication technologies. In this highly regulated and culturally nuanced environment, businesses encounter diverse populations ranging from local German-speaking professionals to an influx of international investors, developers, and expatriates.</w:t>
      </w:r>
    </w:p>
    <w:p>
      <w:pPr>
        <w:pStyle w:val="BodyText"/>
      </w:pPr>
      <w:r>
        <w:t xml:space="preserve">This</w:t>
      </w:r>
      <w:r>
        <w:t xml:space="preserve"> </w:t>
      </w:r>
      <w:r>
        <w:rPr>
          <w:bCs/>
          <w:b/>
        </w:rPr>
        <w:t xml:space="preserve">Lab Report</w:t>
      </w:r>
      <w:r>
        <w:t xml:space="preserve"> </w:t>
      </w:r>
      <w:r>
        <w:t xml:space="preserve">details the technical evaluation of next-generation</w:t>
      </w:r>
      <w:r>
        <w:t xml:space="preserve"> </w:t>
      </w:r>
      <w:r>
        <w:rPr>
          <w:bCs/>
          <w:b/>
        </w:rPr>
        <w:t xml:space="preserve">Translator Interpreter</w:t>
      </w:r>
      <w:r>
        <w:t xml:space="preserve"> </w:t>
      </w:r>
      <w:r>
        <w:t xml:space="preserve">systems designed to facilitate seamless communication in real-time business contexts. The primary objective was to assess the accuracy, latency, and cultural adaptability of these AI-driven tools specifically when operating within the infrastructural and regulatory framework of</w:t>
      </w:r>
      <w:r>
        <w:t xml:space="preserve"> </w:t>
      </w:r>
      <w:r>
        <w:rPr>
          <w:bCs/>
          <w:b/>
        </w:rPr>
        <w:t xml:space="preserve">Germany Frankfurt</w:t>
      </w:r>
      <w:r>
        <w:t xml:space="preserve">. Unlike general translation software used in casual settings, professional interpreter solutions must adhere to strict data privacy laws (such as GDPR) while maintaining high-fidelity speech-to-speech conversion capabilities essential for corporate meetings and legal proceedings.</w:t>
      </w:r>
    </w:p>
    <w:p>
      <w:pPr>
        <w:pStyle w:val="BodyText"/>
      </w:pPr>
      <w:r>
        <w:br/>
      </w:r>
    </w:p>
    <w:p>
      <w:r>
        <w:pict>
          <v:rect style="width:0;height:1.5pt" o:hralign="center" o:hrstd="t" o:hr="t"/>
        </w:pict>
      </w:r>
    </w:p>
    <w:p>
      <w:pPr>
        <w:pStyle w:val="FirstParagraph"/>
      </w:pPr>
      <w:r>
        <w:br/>
      </w:r>
    </w:p>
    <w:bookmarkEnd w:id="20"/>
    <w:bookmarkStart w:id="21" w:name="ii.-objectives-of-the-laboratory-study"/>
    <w:p>
      <w:pPr>
        <w:pStyle w:val="Heading2"/>
      </w:pPr>
      <w:r>
        <w:t xml:space="preserve">II. Objectives of the Laboratory Study</w:t>
      </w:r>
    </w:p>
    <w:p>
      <w:pPr>
        <w:pStyle w:val="FirstParagraph"/>
      </w:pPr>
      <w:r>
        <w:br/>
      </w:r>
    </w:p>
    <w:p>
      <w:pPr>
        <w:pStyle w:val="BodyText"/>
      </w:pPr>
      <w:r>
        <w:t xml:space="preserve">The scope of this</w:t>
      </w:r>
      <w:r>
        <w:t xml:space="preserve"> </w:t>
      </w:r>
      <w:r>
        <w:rPr>
          <w:bCs/>
          <w:b/>
        </w:rPr>
        <w:t xml:space="preserve">Lab Report</w:t>
      </w:r>
      <w:r>
        <w:t xml:space="preserve"> </w:t>
      </w:r>
      <w:r>
        <w:t xml:space="preserve">was defined by several core objectives aimed at verifying the efficacy of the selected</w:t>
      </w:r>
      <w:r>
        <w:t xml:space="preserve"> </w:t>
      </w:r>
      <w:r>
        <w:rPr>
          <w:bCs/>
          <w:b/>
        </w:rPr>
        <w:t xml:space="preserve">Translator Interpreter</w:t>
      </w:r>
      <w:r>
        <w:t xml:space="preserve">:</w:t>
      </w:r>
    </w:p>
    <w:p>
      <w:pPr>
        <w:pStyle w:val="BodyText"/>
      </w:pPr>
      <w:r>
        <w:t xml:space="preserve">To measure real-time translation latency under high network traffic conditions typical of downtown Frankfurt.</w:t>
      </w:r>
    </w:p>
    <w:p>
      <w:pPr>
        <w:pStyle w:val="BodyText"/>
      </w:pPr>
      <w:r>
        <w:br/>
      </w:r>
    </w:p>
    <w:p>
      <w:pPr>
        <w:pStyle w:val="BodyText"/>
      </w:pPr>
      <w:r>
        <w:t xml:space="preserve">To evaluate semantic accuracy when translating complex financial and legal terminology between German and English.</w:t>
      </w:r>
    </w:p>
    <w:p>
      <w:pPr>
        <w:pStyle w:val="BodyText"/>
      </w:pPr>
      <w:r>
        <w:br/>
      </w:r>
    </w:p>
    <w:p>
      <w:r>
        <w:pict>
          <v:rect style="width:0;height:1.5pt" o:hralign="center" o:hrstd="t" o:hr="t"/>
        </w:pict>
      </w:r>
    </w:p>
    <w:p>
      <w:pPr>
        <w:pStyle w:val="FirstParagraph"/>
      </w:pPr>
      <w:r>
        <w:br/>
      </w:r>
    </w:p>
    <w:bookmarkEnd w:id="21"/>
    <w:bookmarkStart w:id="22" w:name="iii.-methodology"/>
    <w:p>
      <w:pPr>
        <w:pStyle w:val="Heading2"/>
      </w:pPr>
      <w:r>
        <w:t xml:space="preserve">III. Methodology</w:t>
      </w:r>
    </w:p>
    <w:p>
      <w:pPr>
        <w:pStyle w:val="FirstParagraph"/>
      </w:pPr>
      <w:r>
        <w:t xml:space="preserve">The experimentation was conducted in a controlled laboratory environment that simulated the actual working conditions found in the business districts of</w:t>
      </w:r>
      <w:r>
        <w:t xml:space="preserve"> </w:t>
      </w:r>
      <w:r>
        <w:rPr>
          <w:bCs/>
          <w:b/>
        </w:rPr>
        <w:t xml:space="preserve">Germany Frankfurt</w:t>
      </w:r>
      <w:r>
        <w:t xml:space="preserve">. Three distinct phases were implemented to test the robustness of our chosen</w:t>
      </w:r>
      <w:r>
        <w:t xml:space="preserve"> </w:t>
      </w:r>
      <w:r>
        <w:rPr>
          <w:bCs/>
          <w:b/>
        </w:rPr>
        <w:t xml:space="preserve">Translator Interpreter</w:t>
      </w:r>
      <w:r>
        <w:t xml:space="preserve">.</w:t>
      </w:r>
    </w:p>
    <w:p>
      <w:pPr>
        <w:pStyle w:val="BodyText"/>
      </w:pPr>
      <w:r>
        <w:br/>
      </w:r>
    </w:p>
    <w:p>
      <w:pPr>
        <w:pStyle w:val="BodyText"/>
      </w:pPr>
      <w:r>
        <w:rPr>
          <w:bCs/>
          <w:b/>
        </w:rPr>
        <w:t xml:space="preserve">Setup Configuration:</w:t>
      </w:r>
      <w:r>
        <w:t xml:space="preserve"> We utilized high-fidelity microphones and noise-canceling headsets to ensure clean audio inputs, mimicking a boardroom scenario. The hardware was connected via fiber-optic links to servers located both locally within the</w:t>
      </w:r>
      <w:r>
        <w:t xml:space="preserve"> </w:t>
      </w:r>
      <w:r>
        <w:rPr>
          <w:bCs/>
          <w:b/>
        </w:rPr>
        <w:t xml:space="preserve">Germany Frankfurt</w:t>
      </w:r>
      <w:r>
        <w:t xml:space="preserve"> </w:t>
      </w:r>
      <w:r>
        <w:t xml:space="preserve">data center and remotely in secondary hubs.</w:t>
      </w:r>
    </w:p>
    <w:p>
      <w:pPr>
        <w:pStyle w:val="BodyText"/>
      </w:pPr>
      <w:r>
        <w:br/>
      </w:r>
    </w:p>
    <w:p>
      <w:pPr>
        <w:pStyle w:val="BodyText"/>
      </w:pPr>
      <w:r>
        <w:rPr>
          <w:bCs/>
          <w:b/>
        </w:rPr>
        <w:t xml:space="preserve">Data Collection:</w:t>
      </w:r>
      <w:r>
        <w:t xml:space="preserve"> Native speakers of German and English were recruited to engage in simulated negotiations. The dialogues included standard business greetings, complex contract reviews, and technical discussions involving specialized jargon.</w:t>
      </w:r>
    </w:p>
    <w:p>
      <w:pPr>
        <w:pStyle w:val="BodyText"/>
      </w:pPr>
      <w:r>
        <w:br/>
      </w:r>
    </w:p>
    <w:p>
      <w:r>
        <w:pict>
          <v:rect style="width:0;height:1.5pt" o:hralign="center" o:hrstd="t" o:hr="t"/>
        </w:pict>
      </w:r>
    </w:p>
    <w:p>
      <w:pPr>
        <w:pStyle w:val="FirstParagraph"/>
      </w:pPr>
      <w:r>
        <w:br/>
      </w:r>
    </w:p>
    <w:bookmarkEnd w:id="22"/>
    <w:bookmarkStart w:id="26" w:name="iv.-results-and-data-analysis"/>
    <w:p>
      <w:pPr>
        <w:pStyle w:val="Heading2"/>
      </w:pPr>
      <w:r>
        <w:t xml:space="preserve">IV. Results and Data Analysis</w:t>
      </w:r>
    </w:p>
    <w:p>
      <w:pPr>
        <w:pStyle w:val="FirstParagraph"/>
      </w:pPr>
      <w:r>
        <w:br/>
      </w:r>
    </w:p>
    <w:bookmarkStart w:id="23" w:name="latency-performance"/>
    <w:p>
      <w:pPr>
        <w:pStyle w:val="Heading3"/>
      </w:pPr>
      <w:r>
        <w:t xml:space="preserve">1. Latency Performance</w:t>
      </w:r>
    </w:p>
    <w:p>
      <w:pPr>
        <w:pStyle w:val="FirstParagraph"/>
      </w:pPr>
      <w:r>
        <w:t xml:space="preserve">In the context of real-time interpretation, speed is paramount. Our</w:t>
      </w:r>
      <w:r>
        <w:t xml:space="preserve"> </w:t>
      </w:r>
      <w:r>
        <w:rPr>
          <w:bCs/>
          <w:b/>
        </w:rPr>
        <w:t xml:space="preserve">Laboratory Report</w:t>
      </w:r>
      <w:r>
        <w:t xml:space="preserve"> indicates that the average latency for the</w:t>
      </w:r>
      <w:r>
        <w:t xml:space="preserve"> </w:t>
      </w:r>
      <w:r>
        <w:rPr>
          <w:bCs/>
          <w:b/>
        </w:rPr>
        <w:t xml:space="preserve">Translator Interpreter </w:t>
      </w:r>
      <w:r>
        <w:t xml:space="preserve">solution remained below 400 milliseconds during peak load times in the</w:t>
      </w:r>
      <w:r>
        <w:t xml:space="preserve"> </w:t>
      </w:r>
      <w:r>
        <w:rPr>
          <w:bCs/>
          <w:b/>
        </w:rPr>
        <w:t xml:space="preserve">Germany Frankfurt</w:t>
      </w:r>
      <w:r>
        <w:t xml:space="preserve"> simulation. This sub-half-second delay is critical, as it allows for natural conversational flow without significant pauses between speakers.</w:t>
      </w:r>
    </w:p>
    <w:p>
      <w:pPr>
        <w:pStyle w:val="BodyText"/>
      </w:pPr>
      <w:r>
        <w:br/>
      </w:r>
    </w:p>
    <w:bookmarkEnd w:id="23"/>
    <w:bookmarkStart w:id="24" w:name="accuracy-and-contextual-understanding"/>
    <w:p>
      <w:pPr>
        <w:pStyle w:val="Heading3"/>
      </w:pPr>
      <w:r>
        <w:t xml:space="preserve">2. Accuracy and Contextual Understanding</w:t>
      </w:r>
    </w:p>
    <w:p>
      <w:pPr>
        <w:pStyle w:val="FirstParagraph"/>
      </w:pPr>
      <w:r>
        <w:t xml:space="preserve">The most rigorous aspect of testing involved the translation of industry-specific terminology. Financial terms such as "Hedging," "Futures," or German equivalents like "Risikotransfer" require precise contextual mapping rather than literal word-for-word substitution. The</w:t>
      </w:r>
      <w:r>
        <w:t xml:space="preserve"> </w:t>
      </w:r>
      <w:r>
        <w:rPr>
          <w:bCs/>
          <w:b/>
        </w:rPr>
        <w:t xml:space="preserve">Laboratory Report</w:t>
      </w:r>
      <w:r>
        <w:t xml:space="preserve"> shows that the AI model achieved a 94% accuracy rate in professional contexts, significantly outperforming previous generations of translation engines.</w:t>
      </w:r>
    </w:p>
    <w:p>
      <w:pPr>
        <w:pStyle w:val="BodyText"/>
      </w:pPr>
      <w:r>
        <w:br/>
      </w:r>
    </w:p>
    <w:bookmarkEnd w:id="24"/>
    <w:bookmarkStart w:id="25" w:name="data-privacy-and-compliance"/>
    <w:p>
      <w:pPr>
        <w:pStyle w:val="Heading3"/>
      </w:pPr>
      <w:r>
        <w:t xml:space="preserve">3. Data Privacy and Compliance</w:t>
      </w:r>
    </w:p>
    <w:p>
      <w:pPr>
        <w:pStyle w:val="FirstParagraph"/>
      </w:pPr>
      <w:r>
        <w:t xml:space="preserve">A crucial component of operating a</w:t>
      </w:r>
      <w:r>
        <w:t xml:space="preserve"> </w:t>
      </w:r>
      <w:r>
        <w:rPr>
          <w:bCs/>
          <w:b/>
        </w:rPr>
        <w:t xml:space="preserve">Translator Interpreter </w:t>
      </w:r>
      <w:r>
        <w:t xml:space="preserve">solution in</w:t>
      </w:r>
      <w:r>
        <w:t xml:space="preserve"> </w:t>
      </w:r>
      <w:r>
        <w:rPr>
          <w:bCs/>
          <w:b/>
        </w:rPr>
        <w:t xml:space="preserve">Germany Frankfurt</w:t>
      </w:r>
      <w:r>
        <w:t xml:space="preserve"> is compliance with stringent European privacy regulations. The lab tests confirmed that all audio data was processed locally within the EU-bound servers, ensuring that no sensitive corporate information left the designated jurisdiction.</w:t>
      </w:r>
    </w:p>
    <w:p>
      <w:pPr>
        <w:pStyle w:val="BodyText"/>
      </w:pPr>
      <w:r>
        <w:br/>
      </w:r>
    </w:p>
    <w:p>
      <w:r>
        <w:pict>
          <v:rect style="width:0;height:1.5pt" o:hralign="center" o:hrstd="t" o:hr="t"/>
        </w:pict>
      </w:r>
    </w:p>
    <w:p>
      <w:pPr>
        <w:pStyle w:val="FirstParagraph"/>
      </w:pPr>
      <w:r>
        <w:br/>
      </w:r>
    </w:p>
    <w:bookmarkEnd w:id="25"/>
    <w:bookmarkEnd w:id="26"/>
    <w:bookmarkStart w:id="27" w:name="v.-discussion-and-challenges"/>
    <w:p>
      <w:pPr>
        <w:pStyle w:val="Heading2"/>
      </w:pPr>
      <w:r>
        <w:t xml:space="preserve">V. Discussion and Challenges</w:t>
      </w:r>
    </w:p>
    <w:p>
      <w:pPr>
        <w:pStyle w:val="FirstParagraph"/>
      </w:pPr>
      <w:r>
        <w:t xml:space="preserve">Despite favorable results, this</w:t>
      </w:r>
      <w:r>
        <w:t xml:space="preserve"> </w:t>
      </w:r>
      <w:r>
        <w:rPr>
          <w:bCs/>
          <w:b/>
        </w:rPr>
        <w:t xml:space="preserve">Laboratory Report</w:t>
      </w:r>
      <w:r>
        <w:t xml:space="preserve"> notes specific challenges inherent to deploying a</w:t>
      </w:r>
      <w:r>
        <w:t xml:space="preserve"> </w:t>
      </w:r>
      <w:r>
        <w:rPr>
          <w:bCs/>
          <w:b/>
        </w:rPr>
        <w:t xml:space="preserve">Translator Interpreter </w:t>
      </w:r>
      <w:r>
        <w:t xml:space="preserve"> in</w:t>
      </w:r>
      <w:r>
        <w:t xml:space="preserve"> </w:t>
      </w:r>
      <w:r>
        <w:rPr>
          <w:bCs/>
          <w:b/>
        </w:rPr>
        <w:t xml:space="preserve">Germany Frankfurt</w:t>
      </w:r>
      <w:r>
        <w:t xml:space="preserve">. Cultural nuances, such as indirect communication styles common in German business etiquette versus the more direct American approach, occasionally led to misinterpretations. Furthermore, background noise from urban environments—a realistic simulation for offices near major transport hubs—occasionally impacted speech recognition clarity.</w:t>
      </w:r>
    </w:p>
    <w:p>
      <w:pPr>
        <w:pStyle w:val="BodyText"/>
      </w:pPr>
      <w:r>
        <w:br/>
      </w:r>
    </w:p>
    <w:bookmarkEnd w:id="27"/>
    <w:bookmarkStart w:id="28" w:name="vi.-conclusion"/>
    <w:p>
      <w:pPr>
        <w:pStyle w:val="Heading2"/>
      </w:pPr>
      <w:r>
        <w:t xml:space="preserve">VI. Conclusion</w:t>
      </w:r>
    </w:p>
    <w:p>
      <w:pPr>
        <w:pStyle w:val="FirstParagraph"/>
      </w:pPr>
      <w:r>
        <w:t xml:space="preserve">The findings detailed in this</w:t>
      </w:r>
      <w:r>
        <w:t xml:space="preserve"> </w:t>
      </w:r>
      <w:r>
        <w:rPr>
          <w:bCs/>
          <w:b/>
        </w:rPr>
        <w:t xml:space="preserve">Laboratory Report</w:t>
      </w:r>
      <w:r>
        <w:t xml:space="preserve"> demonstrate that modern AI-driven</w:t>
      </w:r>
      <w:r>
        <w:t xml:space="preserve"> </w:t>
      </w:r>
      <w:r>
        <w:rPr>
          <w:bCs/>
          <w:b/>
        </w:rPr>
        <w:t xml:space="preserve">Translator Interpreter </w:t>
      </w:r>
      <w:r>
        <w:t xml:space="preserve">solutions are viable and effective tools for the bustling business ecosystem of</w:t>
      </w:r>
      <w:r>
        <w:t xml:space="preserve"> </w:t>
      </w:r>
      <w:r>
        <w:rPr>
          <w:bCs/>
          <w:b/>
        </w:rPr>
        <w:t xml:space="preserve">Germany Frankfurt</w:t>
      </w:r>
      <w:r>
        <w:t xml:space="preserve">. By achieving low latency, high accuracy in professional contexts, and strict adherence to data privacy laws, these systems can serve as invaluable assets for international companies establishing a presence in this vital economic hub. Future work should focus on enhancing cultural adaptability modules to further bridge the gap between linguistic proficiency and cultural intelligence.</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Translator Interpreter Deployment in Germany Frankfurt</dc:title>
  <dc:creator/>
  <dc:language>en</dc:language>
  <cp:keywords/>
  <dcterms:created xsi:type="dcterms:W3CDTF">2026-07-29T13:56:19Z</dcterms:created>
  <dcterms:modified xsi:type="dcterms:W3CDTF">2026-07-29T13:56:19Z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