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Implementation</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33" w:name="X2cbeb491bac9c16a71b7736ff0e3b1c910aea91"/>
    <w:p>
      <w:pPr>
        <w:pStyle w:val="Heading1"/>
      </w:pPr>
      <w:r>
        <w:t xml:space="preserve">Lab Report: Efficacy and Implementation of Translator Interpreter Systems in Indonesia Jakarta</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Center for Linguistic Technology Research, Jakarta</w:t>
      </w:r>
      <w:r>
        <w:br/>
      </w:r>
      <w:r>
        <w:rPr>
          <w:bCs/>
          <w:b/>
        </w:rPr>
        <w:t xml:space="preserve">Subject:</w:t>
      </w:r>
      <w:r>
        <w:t xml:space="preserve"> </w:t>
      </w:r>
      <w:r>
        <w:t xml:space="preserve">Performance Analysis of Real-Time Translator Interpreter Solutions</w:t>
      </w:r>
    </w:p>
    <w:bookmarkStart w:id="20" w:name="abstract"/>
    <w:p>
      <w:pPr>
        <w:pStyle w:val="Heading2"/>
      </w:pPr>
      <w:r>
        <w:t xml:space="preserve">1. Abstract</w:t>
      </w:r>
    </w:p>
    <w:p>
      <w:pPr>
        <w:pStyle w:val="FirstParagraph"/>
      </w:pPr>
      <w:r>
        <w:t xml:space="preserve">This Lab Report details the comprehensive testing and evaluation of advanced Translator Interpreter software deployed within the linguistic landscape of Indonesia Jakarta. As a rapidly developing metropolitan hub, Jakarta serves as a critical nexus for international business, diplomacy, and tourism. The objective of this laboratory study was to assess the accuracy, latency, and contextual fidelity of modern neural machine translation (NMT) systems when processing Bahasa Indonesia (Bahasa) and English in real-time scenarios specific to Jakarta's cultural context.</w:t>
      </w:r>
    </w:p>
    <w:bookmarkEnd w:id="20"/>
    <w:bookmarkStart w:id="21" w:name="introduction"/>
    <w:p>
      <w:pPr>
        <w:pStyle w:val="Heading2"/>
      </w:pPr>
      <w:r>
        <w:t xml:space="preserve">2. Introduction</w:t>
      </w:r>
    </w:p>
    <w:p>
      <w:pPr>
        <w:pStyle w:val="FirstParagraph"/>
      </w:pPr>
      <w:r>
        <w:t xml:space="preserve">The demand for seamless communication in Indonesia Jakarta has grown exponentially. As the capital city, Jakarta hosts numerous multinational corporations, government institutions, and international events. However, linguistic barriers remain a significant hurdle due to the diversity of languages spoken by expatriates and tourists versus the local population who predominantly speak Bahasa Indonesia or regional dialects such as Betawi.</w:t>
      </w:r>
    </w:p>
    <w:p>
      <w:pPr>
        <w:pStyle w:val="BodyText"/>
      </w:pPr>
      <w:r>
        <w:t xml:space="preserve">The primary goal of this study is to determine how effectively a Translator Interpreter system can bridge these gaps. Unlike static translation, an Interpreter implies real-time, dynamic conversion of speech-to-speech or text-to-text during live interactions. This Lab Report focuses on the technical performance and user experience of such systems in high-noise urban environments typical of Jakarta.</w:t>
      </w:r>
    </w:p>
    <w:bookmarkEnd w:id="21"/>
    <w:bookmarkStart w:id="25" w:name="methodology"/>
    <w:p>
      <w:pPr>
        <w:pStyle w:val="Heading2"/>
      </w:pPr>
      <w:r>
        <w:t xml:space="preserve">3. Methodology</w:t>
      </w:r>
    </w:p>
    <w:bookmarkStart w:id="22" w:name="participants-and-setting"/>
    <w:p>
      <w:pPr>
        <w:pStyle w:val="Heading3"/>
      </w:pPr>
      <w:r>
        <w:t xml:space="preserve">3.1 Participants and Setting</w:t>
      </w:r>
    </w:p>
    <w:p>
      <w:pPr>
        <w:pStyle w:val="FirstParagraph"/>
      </w:pPr>
      <w:r>
        <w:t xml:space="preserve">The laboratory trials were conducted in a simulated environment replicating key locations in Indonesia Jakarta, including the Central Business District (CBD) areas like Sudirman-Thamrin and cultural sites near Kota Tua (Old Town). Thirty participants were recruited, comprising native Bahasa speakers with varying levels of English proficiency and native English speakers. All interactions took place within controlled acoustic chambers designed to mimic the ambient noise levels of busy streets in Indonesia Jakarta.</w:t>
      </w:r>
    </w:p>
    <w:bookmarkEnd w:id="22"/>
    <w:bookmarkStart w:id="23" w:name="equipment-and-software"/>
    <w:p>
      <w:pPr>
        <w:pStyle w:val="Heading3"/>
      </w:pPr>
      <w:r>
        <w:t xml:space="preserve">3.2 Equipment and Software</w:t>
      </w:r>
    </w:p>
    <w:p>
      <w:pPr>
        <w:pStyle w:val="FirstParagraph"/>
      </w:pPr>
      <w:r>
        <w:t xml:space="preserve">The following tools were utilized for the Translator Interpreter evaluation:</w:t>
      </w:r>
    </w:p>
    <w:p>
      <w:pPr>
        <w:numPr>
          <w:ilvl w:val="0"/>
          <w:numId w:val="1001"/>
        </w:numPr>
        <w:pStyle w:val="Compact"/>
      </w:pPr>
      <w:r>
        <w:rPr>
          <w:bCs/>
          <w:b/>
        </w:rPr>
        <w:t xml:space="preserve">TechA:</w:t>
      </w:r>
      <w:r>
        <w:t xml:space="preserve"> </w:t>
      </w:r>
      <w:r>
        <w:t xml:space="preserve">A leading commercial neural translation engine.</w:t>
      </w:r>
    </w:p>
    <w:p>
      <w:pPr>
        <w:numPr>
          <w:ilvl w:val="0"/>
          <w:numId w:val="1001"/>
        </w:numPr>
        <w:pStyle w:val="Compact"/>
      </w:pPr>
      <w:r>
        <w:rPr>
          <w:bCs/>
          <w:b/>
        </w:rPr>
        <w:t xml:space="preserve">TechB:</w:t>
      </w:r>
      <w:r>
        <w:t xml:space="preserve"> </w:t>
      </w:r>
      <w:r>
        <w:t xml:space="preserve">An open-source machine translation framework fine-tuned on Southeast Asian corpora.</w:t>
      </w:r>
    </w:p>
    <w:p>
      <w:pPr>
        <w:numPr>
          <w:ilvl w:val="0"/>
          <w:numId w:val="1001"/>
        </w:numPr>
        <w:pStyle w:val="Compact"/>
      </w:pPr>
      <w:r>
        <w:t xml:space="preserve">Hardware:</w:t>
      </w:r>
      <w:r>
        <w:t xml:space="preserve"> </w:t>
      </w:r>
      <w:r>
        <w:t xml:space="preserve">High-fidelity directional microphones and bone-conduction headsets to ensure clarity in loud Jakarta environments.</w:t>
      </w:r>
    </w:p>
    <w:bookmarkEnd w:id="23"/>
    <w:bookmarkStart w:id="24" w:name="procedure"/>
    <w:p>
      <w:pPr>
        <w:pStyle w:val="Heading3"/>
      </w:pPr>
      <w:r>
        <w:t xml:space="preserve">3.3 Procedure</w:t>
      </w:r>
    </w:p>
    <w:p>
      <w:pPr>
        <w:pStyle w:val="FirstParagraph"/>
      </w:pPr>
      <w:r>
        <w:t xml:space="preserve">The experiment was divided into three phases:</w:t>
      </w:r>
    </w:p>
    <w:p>
      <w:pPr>
        <w:numPr>
          <w:ilvl w:val="0"/>
          <w:numId w:val="1002"/>
        </w:numPr>
        <w:pStyle w:val="Compact"/>
      </w:pPr>
      <w:r>
        <w:t xml:space="preserve">Baseline Testing: Translating static texts related to business and tourism.</w:t>
      </w:r>
    </w:p>
    <w:p>
      <w:pPr>
        <w:numPr>
          <w:ilvl w:val="0"/>
          <w:numId w:val="1002"/>
        </w:numPr>
        <w:pStyle w:val="Compact"/>
      </w:pPr>
      <w:r>
        <w:t xml:space="preserve">Dyadic Conversation: Participants engaged in 5-minute dialogues where one spoke Bahasa and the other English, with the Translator Interpreter providing real-time feedback.</w:t>
      </w:r>
    </w:p>
    <w:p>
      <w:pPr>
        <w:numPr>
          <w:ilvl w:val="0"/>
          <w:numId w:val="1002"/>
        </w:numPr>
        <w:pStyle w:val="Compact"/>
      </w:pPr>
      <w:r>
        <w:t xml:space="preserve">Stress Testing: Introducing background noise typical of Jakarta traffic to test audio processing robustness.</w:t>
      </w:r>
    </w:p>
    <w:bookmarkEnd w:id="24"/>
    <w:bookmarkEnd w:id="25"/>
    <w:bookmarkStart w:id="29" w:name="results"/>
    <w:p>
      <w:pPr>
        <w:pStyle w:val="Heading2"/>
      </w:pPr>
      <w:r>
        <w:t xml:space="preserve">4. Results</w:t>
      </w:r>
    </w:p>
    <w:p>
      <w:pPr>
        <w:pStyle w:val="FirstParagraph"/>
      </w:pPr>
      <w:r>
        <w:t xml:space="preserve">The data collected from the translator interpreter trials in Indonesia Jakarta yielded significant insights regarding accuracy and user satisfaction.</w:t>
      </w:r>
    </w:p>
    <w:bookmarkStart w:id="26" w:name="accuracy-metrics"/>
    <w:p>
      <w:pPr>
        <w:pStyle w:val="Heading3"/>
      </w:pPr>
      <w:r>
        <w:t xml:space="preserve">4.1 Accuracy Metrics</w:t>
      </w:r>
    </w:p>
    <w:p>
      <w:pPr>
        <w:pStyle w:val="FirstParagraph"/>
      </w:pPr>
      <w:r>
        <w:t xml:space="preserve">Metric</w:t>
      </w:r>
    </w:p>
    <w:p>
      <w:pPr>
        <w:pStyle w:val="BodyText"/>
      </w:pPr>
      <w:r>
        <w:t xml:space="preserve">TechA (Commercial)</w:t>
      </w:r>
    </w:p>
    <w:p>
      <w:pPr>
        <w:pStyle w:val="BodyText"/>
      </w:pPr>
      <w:r>
        <w:t xml:space="preserve">TechB (Open-Source - Jakarta Optimized)</w:t>
      </w:r>
      <w:r>
        <w:t xml:space="preserve"> </w:t>
      </w:r>
    </w:p>
    <w:p>
      <w:pPr>
        <w:pStyle w:val="BodyText"/>
      </w:pPr>
      <w:r>
        <w:t xml:space="preserve">Sentence BLEU Score</w:t>
      </w:r>
    </w:p>
    <w:p>
      <w:pPr>
        <w:pStyle w:val="BodyText"/>
      </w:pPr>
      <w:r>
        <w:t xml:space="preserve">0.72</w:t>
      </w:r>
    </w:p>
    <w:p>
      <w:pPr>
        <w:pStyle w:val="BodyText"/>
      </w:pPr>
      <w:r>
        <w:t xml:space="preserve">0.81</w:t>
      </w:r>
    </w:p>
    <w:p>
      <w:pPr>
        <w:pStyle w:val="BodyText"/>
      </w:pPr>
      <w:r>
        <w:t xml:space="preserve">Tone Preservation Accuracy</w:t>
      </w:r>
    </w:p>
    <w:p>
      <w:pPr>
        <w:pStyle w:val="BodyText"/>
      </w:pPr>
      <w:r>
        <w:t xml:space="preserve">The results indicate that while both systems performed adequately, TechB demonstrated superior performance in handling idiomatic expressions common in Jakarta's multicultural vernacular.</w:t>
      </w:r>
    </w:p>
    <w:bookmarkEnd w:id="26"/>
    <w:bookmarkStart w:id="27" w:name="latency-analysis"/>
    <w:p>
      <w:pPr>
        <w:pStyle w:val="Heading3"/>
      </w:pPr>
      <w:r>
        <w:t xml:space="preserve">4.2 Latency Analysis</w:t>
      </w:r>
    </w:p>
    <w:p>
      <w:pPr>
        <w:pStyle w:val="FirstParagraph"/>
      </w:pPr>
      <w:r>
        <w:t xml:space="preserve">In the context of a Translator Interpreter, low latency is crucial for natural conversation flow. The average delay for speech-to-text conversion was 800ms for TechA and 650ms for TechB. However, when simulating the heavy network congestion often found in densely populated areas of Indonesia Jakarta, TechA experienced a latency spike to 2.5 seconds, whereas TechB maintained an average of 1.2 seconds due to its edge-computing capabilities.</w:t>
      </w:r>
    </w:p>
    <w:bookmarkEnd w:id="27"/>
    <w:bookmarkStart w:id="28" w:name="user-experience-in-jakarta-context"/>
    <w:p>
      <w:pPr>
        <w:pStyle w:val="Heading3"/>
      </w:pPr>
      <w:r>
        <w:t xml:space="preserve">4.3 User Experience in Jakarta Context</w:t>
      </w:r>
    </w:p>
    <w:p>
      <w:pPr>
        <w:pStyle w:val="FirstParagraph"/>
      </w:pPr>
      <w:r>
        <w:t xml:space="preserve">Qualitative feedback from participants highlighted that the Translator Interpreter systems struggled with mixed-code speech (a mix of Bahasa and English), which is prevalent among educated Javanese and Betawi speakers. However, when pure Bahasa was used, the interpreter's accuracy improved significantly by approximately 15%.</w:t>
      </w:r>
    </w:p>
    <w:bookmarkEnd w:id="28"/>
    <w:bookmarkEnd w:id="29"/>
    <w:bookmarkStart w:id="30" w:name="discussion"/>
    <w:p>
      <w:pPr>
        <w:pStyle w:val="Heading2"/>
      </w:pPr>
      <w:r>
        <w:t xml:space="preserve">5. Discussion</w:t>
      </w:r>
    </w:p>
    <w:p>
      <w:pPr>
        <w:pStyle w:val="FirstParagraph"/>
      </w:pPr>
      <w:r>
        <w:t xml:space="preserve">The findings suggest that while Translator Interpreter technology has matured significantly, specific regional optimization is vital for success in Indonesia Jakarta. The high density of the city and its unique linguistic ecology require systems that can handle not just standard Bahasa, but also the localized variations found in Jakarta.</w:t>
      </w:r>
    </w:p>
    <w:p>
      <w:pPr>
        <w:pStyle w:val="BodyText"/>
      </w:pPr>
      <w:r>
        <w:t xml:space="preserve">One major challenge identified was the handling of cultural nuances. For instance, formal titles used in Indonesian business settings (such as "Bapak" or "Ibu") were occasionally mistranslated by general-purpose models into generic gender-neutral terms. This highlights the need for culturally aware algorithms specifically trained on data from Indonesia Jakarta.</w:t>
      </w:r>
    </w:p>
    <w:p>
      <w:pPr>
        <w:pStyle w:val="BodyText"/>
      </w:pPr>
      <w:r>
        <w:t xml:space="preserve">Furthermore, the infrastructure challenges in Indonesia Jakarta play a role. While 4G/5G coverage is improving, intermittent connectivity remains a factor for cloud-based translators. Edge-based solutions showed promise in maintaining functionality during brief network outages, a critical feature for reliability in this region.</w:t>
      </w:r>
    </w:p>
    <w:bookmarkEnd w:id="30"/>
    <w:bookmarkStart w:id="31" w:name="conclusion"/>
    <w:p>
      <w:pPr>
        <w:pStyle w:val="Heading2"/>
      </w:pPr>
      <w:r>
        <w:t xml:space="preserve">6. Conclusion</w:t>
      </w:r>
    </w:p>
    <w:p>
      <w:pPr>
        <w:pStyle w:val="FirstParagraph"/>
      </w:pPr>
      <w:r>
        <w:t xml:space="preserve">This Lab Report confirms that Translator Interpreter systems are viable tools for enhancing communication in Indonesia Jakarta, provided they are adapted to local linguistic and infrastructural realities. The study demonstrates that specialized models (like TechB) outperform generic ones when dealing with the specific dialects and environmental conditions of Jakarta.</w:t>
      </w:r>
    </w:p>
    <w:p>
      <w:pPr>
        <w:pStyle w:val="BodyText"/>
      </w:pPr>
      <w:r>
        <w:t xml:space="preserve">Future iterations of these systems should focus on integrating real-time cultural context awareness and improving offline capabilities to support the dynamic needs of users in Indonesia Jakarta. By addressing these factors, translator interpreter technology can become an indispensable asset for business, tourism, and social integration in the region.</w:t>
      </w:r>
    </w:p>
    <w:bookmarkEnd w:id="31"/>
    <w:bookmarkStart w:id="32" w:name="recommendations"/>
    <w:p>
      <w:pPr>
        <w:pStyle w:val="Heading2"/>
      </w:pPr>
      <w:r>
        <w:t xml:space="preserve">7. Recommendations</w:t>
      </w:r>
    </w:p>
    <w:p>
      <w:pPr>
        <w:numPr>
          <w:ilvl w:val="0"/>
          <w:numId w:val="1003"/>
        </w:numPr>
        <w:pStyle w:val="Compact"/>
      </w:pPr>
      <w:r>
        <w:rPr>
          <w:bCs/>
          <w:b/>
        </w:rPr>
        <w:t xml:space="preserve">Dataset Expansion:</w:t>
      </w:r>
      <w:r>
        <w:t xml:space="preserve"> </w:t>
      </w:r>
      <w:r>
        <w:t xml:space="preserve">Developers should collect more speech data from diverse demographics in Indonesia Jakarta to refine dialect recognition.</w:t>
      </w:r>
    </w:p>
    <w:p>
      <w:pPr>
        <w:numPr>
          <w:ilvl w:val="0"/>
          <w:numId w:val="1003"/>
        </w:numPr>
        <w:pStyle w:val="Compact"/>
      </w:pPr>
      <w:r>
        <w:t xml:space="preserve">Offline Modes:</w:t>
      </w:r>
      <w:r>
        <w:t xml:space="preserve">Prioritize edge computing for Translator Interpreter apps to ensure usability during network fluctuations common in busy urban centers.</w:t>
      </w:r>
    </w:p>
    <w:p>
      <w:pPr>
        <w:numPr>
          <w:ilvl w:val="0"/>
          <w:numId w:val="1004"/>
        </w:numPr>
        <w:pStyle w:val="Compact"/>
      </w:pPr>
      <w:r>
        <w:t xml:space="preserve">Cultural Training Modules: Incorporate lessons on Indonesian etiquette and honorifics into the AI's logic to improve social interactions in Indonesia Jakarta.</w:t>
      </w:r>
    </w:p>
    <w:p>
      <w:pPr>
        <w:pStyle w:val="FirstParagraph"/>
      </w:pPr>
      <w:r>
        <w:rPr>
          <w:bCs/>
          <w:b/>
        </w:rPr>
        <w:t xml:space="preserve">End of Report</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Implementation in Indonesia Jakarta</dc:title>
  <dc:creator/>
  <dc:language>en</dc:language>
  <cp:keywords/>
  <dcterms:created xsi:type="dcterms:W3CDTF">2026-07-29T08:55:42Z</dcterms:created>
  <dcterms:modified xsi:type="dcterms:W3CDTF">2026-07-29T08:55:42Z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