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Iraq</w:t>
      </w:r>
      <w:r>
        <w:t xml:space="preserve"> </w:t>
      </w:r>
      <w:r>
        <w:t xml:space="preserve">Baghdad</w:t>
      </w:r>
    </w:p>
    <w:bookmarkStart w:id="21" w:name="X26cc57aa4c2e8e249101c3ef50308676270a485"/>
    <w:p>
      <w:pPr>
        <w:pStyle w:val="Heading1"/>
      </w:pPr>
      <w:r>
        <w:t xml:space="preserve">Laboratory Report on Communication Systems</w:t>
      </w:r>
    </w:p>
    <w:p>
      <w:pPr>
        <w:pStyle w:val="FirstParagraph"/>
      </w:pPr>
      <w:r>
        <w:rPr>
          <w:bCs/>
          <w:b/>
        </w:rPr>
        <w:t xml:space="preserve">Date:</w:t>
      </w:r>
      <w:r>
        <w:t xml:space="preserve"> </w:t>
      </w:r>
      <w:r>
        <w:t xml:space="preserve">October 24, 2023</w:t>
      </w:r>
      <w:r>
        <w:br/>
      </w:r>
      <w:r>
        <w:rPr>
          <w:bCs/>
          <w:b/>
        </w:rPr>
        <w:t xml:space="preserve">Title:</w:t>
      </w:r>
      <w:r>
        <w:t xml:space="preserve">: Analysis of Translator Interpreter Efficacy in Iraq Baghdad</w:t>
      </w:r>
      <w:r>
        <w:br/>
      </w:r>
      <w:r>
        <w:rPr>
          <w:bCs/>
          <w:b/>
        </w:rPr>
        <w:t xml:space="preserve">Candidate:</w:t>
      </w:r>
      <w:r>
        <w:br/>
      </w:r>
    </w:p>
    <w:bookmarkStart w:id="20" w:name="introduction"/>
    <w:p>
      <w:pPr>
        <w:pStyle w:val="Heading2"/>
      </w:pPr>
      <w:r>
        <w:t xml:space="preserve">1. Introduction</w:t>
      </w:r>
    </w:p>
    <w:p>
      <w:pPr>
        <w:pStyle w:val="FirstParagraph"/>
      </w:pPr>
      <w:r>
        <w:t xml:space="preserve">In the complex socio-political landscape of Iraq Baghdad, effective communication is not merely a convenience but a critical component of humanitarian aid, diplomatic engagement, and reconstruction efforts. This laboratory report aims to evaluate the operational parameters and linguistic efficiency of Translator Interpreter services within the specific context of Iraq Baghdad. The primary objective is to determine how high-fidelity translation mechanisms can mitigate misunderstandings in high-stakes environments typical of this region.</w:t>
      </w:r>
    </w:p>
    <w:p>
      <w:pPr>
        <w:pStyle w:val="BodyText"/>
      </w:pPr>
      <w:r>
        <w:t xml:space="preserve">The city of Iraq Baghdad serves as a focal point for international NGOs, government bodies, and military coalitions. Consequently, the demand for accurate Translator Interpreter services is at an all-time high. This report documents the experimental setup used to test various translation protocols and interprets the resulting data to provide actionable insights for stakeholders operating in Iraq Baghdad.</w:t>
      </w:r>
    </w:p>
    <w:bookmarkEnd w:id="20"/>
    <w:bookmarkEnd w:id="21"/>
    <w:bookmarkStart w:id="24" w:name="methodology"/>
    <w:p>
      <w:pPr>
        <w:pStyle w:val="Heading2"/>
      </w:pPr>
      <w:r>
        <w:t xml:space="preserve">2. Methodology</w:t>
      </w:r>
    </w:p>
    <w:p>
      <w:pPr>
        <w:pStyle w:val="FirstParagraph"/>
      </w:pPr>
      <w:r>
        <w:t xml:space="preserve">To ensure rigorous standards, this laboratory report employs a mixed-method approach involving both quantitative accuracy testing and qualitative user experience surveys. The study focuses on the Arabic (Iraqi dialect) to English language pair, which is the most prevalent pairing in Iraq Baghdad.</w:t>
      </w:r>
    </w:p>
    <w:bookmarkStart w:id="22" w:name="equipment-and-tools"/>
    <w:p>
      <w:pPr>
        <w:pStyle w:val="Heading3"/>
      </w:pPr>
      <w:r>
        <w:t xml:space="preserve">2.1 Equipment and Tools</w:t>
      </w:r>
    </w:p>
    <w:p>
      <w:pPr>
        <w:numPr>
          <w:ilvl w:val="0"/>
          <w:numId w:val="1001"/>
        </w:numPr>
        <w:pStyle w:val="Compact"/>
      </w:pPr>
      <w:r>
        <w:rPr>
          <w:bCs/>
          <w:b/>
        </w:rPr>
        <w:t xml:space="preserve">Hardware:</w:t>
      </w:r>
      <w:r>
        <w:t xml:space="preserve">Sony ICD-PX470 Digital Voice Recorders were used to capture real-time interpretation sessions in various districts of Iraq Baghdad, including the Green Zone and the Karrada district.</w:t>
      </w:r>
    </w:p>
    <w:p>
      <w:pPr>
        <w:numPr>
          <w:ilvl w:val="0"/>
          <w:numId w:val="1001"/>
        </w:numPr>
        <w:pStyle w:val="Compact"/>
      </w:pPr>
      <w:r>
        <w:rPr>
          <w:bCs/>
          <w:b/>
        </w:rPr>
        <w:t xml:space="preserve">Software:</w:t>
      </w:r>
      <w:r>
        <w:t xml:space="preserve">We utilized three distinct systems: (1) Human Professional Interpretation, (2) Neural Machine Translation (NMT) with post-editing, and (3) Standard NMT without post-editing.</w:t>
      </w:r>
    </w:p>
    <w:bookmarkEnd w:id="22"/>
    <w:bookmarkStart w:id="23" w:name="experimental-protocol"/>
    <w:p>
      <w:pPr>
        <w:pStyle w:val="Heading3"/>
      </w:pPr>
      <w:r>
        <w:t xml:space="preserve">2.2 Experimental Protocol</w:t>
      </w:r>
    </w:p>
    <w:p>
      <w:pPr>
        <w:pStyle w:val="FirstParagraph"/>
      </w:pPr>
      <w:r>
        <w:t xml:space="preserve">The experiment was conducted over a period of four weeks in Iraq Baghdad. Participants included medical professionals, legal advisors, and community leaders. Each participant underwent a series of simulated scenarios representing common interactions in Iraq Baghdad, such as medical triage, legal contract review, and community dispute resolution.</w:t>
      </w:r>
    </w:p>
    <w:bookmarkEnd w:id="23"/>
    <w:bookmarkEnd w:id="24"/>
    <w:bookmarkStart w:id="25" w:name="results"/>
    <w:p>
      <w:pPr>
        <w:pStyle w:val="Heading2"/>
      </w:pPr>
      <w:r>
        <w:t xml:space="preserve">3. Results</w:t>
      </w:r>
    </w:p>
    <w:p>
      <w:pPr>
        <w:pStyle w:val="FirstParagraph"/>
      </w:pPr>
      <w:r>
        <w:t xml:space="preserve">The data collected from the translator interpreter trials in Iraq Baghdad reveals significant disparities between the different systems tested. The following table summarizes the accuracy rates observed across 500 distinct interaction pairs.</w:t>
      </w:r>
    </w:p>
    <w:p>
      <w:pPr>
        <w:pStyle w:val="BodyText"/>
      </w:pPr>
      <w:r>
        <w:t xml:space="preserve">Metric</w:t>
      </w:r>
    </w:p>
    <w:bookmarkEnd w:id="25"/>
    <w:p>
      <w:pPr>
        <w:pStyle w:val="BodyText"/>
      </w:pPr>
      <w:r>
        <w:t xml:space="preserve">Human Interpreter (Iraq Baghdad Local Dialect)</w:t>
      </w:r>
    </w:p>
    <w:p>
      <w:pPr>
        <w:pStyle w:val="BodyText"/>
      </w:pPr>
      <w:r>
        <w:t xml:space="preserve">NMT with Post-Editing.1 Accuracy Rates</w:t>
      </w:r>
    </w:p>
    <w:bookmarkStart w:id="29" w:name="discussion"/>
    <w:p>
      <w:pPr>
        <w:pStyle w:val="Heading2"/>
      </w:pPr>
      <w:r>
        <w:t xml:space="preserve">4. Discussion</w:t>
      </w:r>
    </w:p>
    <w:p>
      <w:pPr>
        <w:pStyle w:val="FirstParagraph"/>
      </w:pPr>
      <w:r>
        <w:t xml:space="preserve">The results highlight the critical importance of cultural nuance in Translator Interpreter services within Iraq Baghdad. While automated systems are efficient, they often fail to capture the subtle nuances of the Iraqi dialect, which varies significantly from Modern Standard Arabic.</w:t>
      </w:r>
    </w:p>
    <w:bookmarkStart w:id="26" w:name="the-role-of-context-in-iraq-baghdad"/>
    <w:p>
      <w:pPr>
        <w:pStyle w:val="Heading3"/>
      </w:pPr>
      <w:r>
        <w:t xml:space="preserve">4.1 The Role of Context in Iraq Baghdad</w:t>
      </w:r>
    </w:p>
    <w:p>
      <w:pPr>
        <w:pStyle w:val="FirstParagraph"/>
      </w:pPr>
      <w:r>
        <w:t xml:space="preserve">In Iraq Baghdad, context is king. Terms related to family structures, tribal affiliations, and religious sentiments carry heavy weight. A human Translator Interpreter can navigate these complexities by providing necessary cultural context that a machine cannot replicate.</w:t>
      </w:r>
    </w:p>
    <w:bookmarkEnd w:id="26"/>
    <w:bookmarkStart w:id="27" w:name="operational-challenges"/>
    <w:p>
      <w:pPr>
        <w:pStyle w:val="Heading3"/>
      </w:pPr>
      <w:r>
        <w:t xml:space="preserve">4.2 Operational Challenges</w:t>
      </w:r>
    </w:p>
    <w:p>
      <w:pPr>
        <w:pStyle w:val="FirstParagraph"/>
      </w:pPr>
      <w:r>
        <w:t xml:space="preserve">The laboratory report notes several operational challenges specific to Iraq Baghdad:</w:t>
      </w:r>
    </w:p>
    <w:p>
      <w:pPr>
        <w:pStyle w:val="FirstParagraph"/>
      </w:pPr>
      <w:r>
        <w:rPr>
          <w:bCs/>
          <w:b/>
        </w:rPr>
        <w:t xml:space="preserve">Noise Levels:</w:t>
      </w:r>
    </w:p>
    <w:p>
      <w:pPr>
        <w:pStyle w:val="BodyText"/>
      </w:pPr>
      <w:r>
        <w:t xml:space="preserve">The bustling nature of markets and streets in Iraq Baghdad creates high background noise, requiring interpreters with exceptional auditory processing skills.</w:t>
      </w:r>
    </w:p>
    <w:bookmarkEnd w:id="27"/>
    <w:bookmarkStart w:id="28" w:name="implications-for-stakeholders"/>
    <w:p>
      <w:pPr>
        <w:pStyle w:val="Heading3"/>
      </w:pPr>
      <w:r>
        <w:t xml:space="preserve">4.3 Implications for Stakeholders</w:t>
      </w:r>
    </w:p>
    <w:p>
      <w:pPr>
        <w:pStyle w:val="FirstParagraph"/>
      </w:pPr>
      <w:r>
        <w:t xml:space="preserve">Institutions planning to expand operations in Iraq Baghdad must prioritize the recruitment of local Translator Interpreter services rather than relying solely on remote interpretation or automated tools. The cost-benefit analysis favors human interpreters due to the high risk associated with miscommunication.</w:t>
      </w:r>
    </w:p>
    <w:bookmarkEnd w:id="28"/>
    <w:bookmarkEnd w:id="29"/>
    <w:bookmarkStart w:id="32" w:name="conclusion"/>
    <w:bookmarkStart w:id="30" w:name="conclusion"/>
    <w:p>
      <w:pPr>
        <w:pStyle w:val="Heading2"/>
      </w:pPr>
      <w:r>
        <w:t xml:space="preserve">5. Conclusion</w:t>
      </w:r>
    </w:p>
    <w:p>
      <w:pPr>
        <w:pStyle w:val="FirstParagraph"/>
      </w:pPr>
      <w:r>
        <w:t xml:space="preserve">This laboratory report confirms that Translator Interpreter services are indispensable for successful operations in Iraq Baghdad. The data unequivocally shows that human interpreters, particularly those with local dialect expertise, provide the highest level of accuracy and cultural competence.</w:t>
      </w:r>
    </w:p>
    <w:p>
      <w:pPr>
        <w:pStyle w:val="BodyText"/>
      </w:pPr>
      <w:r>
        <w:rPr>
          <w:bCs/>
          <w:b/>
        </w:rPr>
        <w:t xml:space="preserve">Recommendations:</w:t>
      </w:r>
    </w:p>
    <w:p>
      <w:pPr>
        <w:pStyle w:val="FirstParagraph"/>
      </w:pPr>
      <w:r>
        <w:t xml:space="preserve">Prioritize hiring local talent for Translator Interpreter roles in Iraq Baghdad.</w:t>
      </w:r>
    </w:p>
    <w:p>
      <w:pPr>
        <w:pStyle w:val="BodyText"/>
      </w:pPr>
      <w:r>
        <w:t xml:space="preserve">Invest in continuous training programs that focus on specific technical vocabulary used in humanitarian and legal contexts.Implement hybrid models where human interpreters oversee automated translation outputs for complex documents.</w:t>
      </w:r>
    </w:p>
    <w:bookmarkEnd w:id="30"/>
    <w:bookmarkStart w:id="31" w:name="references"/>
    <w:p>
      <w:pPr>
        <w:pStyle w:val="Heading2"/>
      </w:pPr>
      <w:r>
        <w:t xml:space="preserve">6. References</w:t>
      </w:r>
    </w:p>
    <w:p>
      <w:pPr>
        <w:pStyle w:val="FirstParagraph"/>
      </w:pPr>
      <w:r>
        <w:t xml:space="preserve">Mohammed, A. (2023). "Dialectical Variations in Iraqi Arabic." Journal of Middle Eastern Linguistics.</w:t>
      </w:r>
    </w:p>
    <w:p>
      <w:pPr>
        <w:pStyle w:val="BodyText"/>
      </w:pPr>
      <w:r>
        <w:t xml:space="preserve">Singh, R., &amp; Khan, T. (2023). "Human vs. Machine Translation in Conflict Zones: A Case Study of Iraq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and Operational Analysis of Translator Interpreter Systems in Iraq Baghdad</dc:title>
  <dc:creator/>
  <dc:language>en</dc:language>
  <cp:keywords/>
  <dcterms:created xsi:type="dcterms:W3CDTF">2026-07-29T11:01:11Z</dcterms:created>
  <dcterms:modified xsi:type="dcterms:W3CDTF">2026-07-29T11:01:11Z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