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Translator</w:t>
      </w:r>
      <w:r>
        <w:t xml:space="preserve"> </w:t>
      </w:r>
      <w:r>
        <w:t xml:space="preserve">Interpreter</w:t>
      </w:r>
      <w:r>
        <w:t xml:space="preserve"> </w:t>
      </w:r>
      <w:r>
        <w:t xml:space="preserve">Implementation</w:t>
      </w:r>
      <w:r>
        <w:t xml:space="preserve"> </w:t>
      </w:r>
      <w:r>
        <w:t xml:space="preserve">in</w:t>
      </w:r>
      <w:r>
        <w:t xml:space="preserve"> </w:t>
      </w:r>
      <w:r>
        <w:t xml:space="preserve">Japan</w:t>
      </w:r>
      <w:r>
        <w:t xml:space="preserve"> </w:t>
      </w:r>
      <w:r>
        <w:t xml:space="preserve">Osaka</w:t>
      </w:r>
    </w:p>
    <w:bookmarkStart w:id="20" w:name="Xb4c583a493b2d44917dfc8dc156d3ef67e842e3"/>
    <w:p>
      <w:pPr>
        <w:pStyle w:val="Heading1"/>
      </w:pPr>
      <w:r>
        <w:t xml:space="preserve">Laboratory Report on Linguistic Mediation Systems</w:t>
      </w:r>
    </w:p>
    <w:p>
      <w:pPr>
        <w:pStyle w:val="FirstParagraph"/>
      </w:pPr>
      <w:r>
        <w:rPr>
          <w:bCs/>
          <w:b/>
        </w:rPr>
        <w:t xml:space="preserve">Date:</w:t>
      </w:r>
      <w:r>
        <w:t xml:space="preserve"> </w:t>
      </w:r>
      <w:r>
        <w:t xml:space="preserve">October 24, 2023</w:t>
      </w:r>
      <w:r>
        <w:br/>
      </w:r>
      <w:r>
        <w:rPr>
          <w:bCs/>
          <w:b/>
        </w:rPr>
        <w:t xml:space="preserve">Location:</w:t>
      </w:r>
      <w:r>
        <w:t xml:space="preserve"> </w:t>
      </w:r>
      <w:hyperlink w:anchor="location">
        <w:r>
          <w:rPr>
            <w:rStyle w:val="Hyperlink"/>
          </w:rPr>
          <w:t xml:space="preserve">Japan Osaka</w:t>
        </w:r>
      </w:hyperlink>
      <w:r>
        <w:br/>
      </w:r>
      <w:r>
        <w:rPr>
          <w:bCs/>
          <w:b/>
        </w:rPr>
        <w:t xml:space="preserve">Subject:</w:t>
      </w:r>
      <w:r>
        <w:t xml:space="preserve">Efficacy of Real-Time Translator Interpreter Technologies in High-Density Urban Environments</w:t>
      </w:r>
      <w:r>
        <w:br/>
      </w:r>
      <w:r>
        <w:rPr>
          <w:bCs/>
          <w:b/>
        </w:rPr>
        <w:t xml:space="preserve">Status:</w:t>
      </w:r>
      <w:r>
        <w:t xml:space="preserve"> </w:t>
      </w:r>
      <w:r>
        <w:t xml:space="preserve">Final Review</w:t>
      </w:r>
    </w:p>
    <w:bookmarkEnd w:id="20"/>
    <w:p>
      <w:pPr>
        <w:pStyle w:val="BodyText"/>
      </w:pPr>
      <w:r>
        <w:t xml:space="preserve">Abstract</w:t>
      </w:r>
    </w:p>
    <w:p>
      <w:pPr>
        <w:pStyle w:val="BodyText"/>
      </w:pPr>
      <w:r>
        <w:t xml:space="preserve">This report details the comprehensive testing and analysis of advanced machine translation and interpretation systems within the specific socio-linguistic context of Japan Osaka. As a global economic hub and a primary gateway for international tourism in West Japan, Japan Osaka presents unique challenges for language processing due to its distinct dialectal variations (Kansai-ben), high volume of cross-border transactions, and complex cultural nuances. The objective of this laboratory study was to evaluate the accuracy, latency, and user acceptance rates of contemporary Translator Interpreter tools when deployed in real-world scenarios across major districts such as Namba, Umeda, and Tennoji. Our findings indicate that while neural machine translation has achieved remarkable proficiency in standard Japanese (Kyoiku-gengo), significant disparities remain in handling regional idioms and rapid-fire conversational dynamics typical of Osaka’s commercial centers.</w:t>
      </w:r>
    </w:p>
    <w:bookmarkStart w:id="21" w:name="introduction"/>
    <w:p>
      <w:pPr>
        <w:pStyle w:val="Heading2"/>
      </w:pPr>
      <w:r>
        <w:t xml:space="preserve">1. Introduction</w:t>
      </w:r>
    </w:p>
    <w:p>
      <w:pPr>
        <w:pStyle w:val="FirstParagraph"/>
      </w:pPr>
      <w:r>
        <w:t xml:space="preserve">The globalization of trade and tourism necessitates robust linguistic bridges between diverse populations. In the context of Japan, where the native language is not widely spoken outside its borders, effective communication tools are critical for both economic integration and cultural exchange. This lab report focuses specifically on Japan Osaka, a city known for its vibrant commerce, culinary heritage, and distinct linguistic identity.</w:t>
      </w:r>
    </w:p>
    <w:p>
      <w:pPr>
        <w:pStyle w:val="BodyText"/>
      </w:pPr>
      <w:r>
        <w:t xml:space="preserve">Unlike Tokyo’s more standardized media presence, Japan Osaka operates with a unique pragmatic flair. The local dialect is characterized by shorter syllables, distinct pitch accents (Hodae), and specific vocabulary that often confuses standard Japanese-trained algorithms. Therefore, the deployment of a Translator Interpreter in this region requires rigorous adaptation to local linguistic parameters.</w:t>
      </w:r>
    </w:p>
    <w:bookmarkEnd w:id="21"/>
    <w:bookmarkStart w:id="22" w:name="methodology"/>
    <w:p>
      <w:pPr>
        <w:pStyle w:val="Heading2"/>
      </w:pPr>
      <w:r>
        <w:t xml:space="preserve">2. Methodology</w:t>
      </w:r>
    </w:p>
    <w:p>
      <w:pPr>
        <w:pStyle w:val="FirstParagraph"/>
      </w:pPr>
      <w:r>
        <w:t xml:space="preserve">The testing phase was conducted over a period of four weeks across three primary locations in Japan Osaka: the Dotonbori entertainment district, the Umeda business complex, and Osaka Station City. The following metrics were recorded for each interaction involving a Translator Interpreter:</w:t>
      </w:r>
    </w:p>
    <w:p>
      <w:pPr>
        <w:numPr>
          <w:ilvl w:val="0"/>
          <w:numId w:val="1001"/>
        </w:numPr>
        <w:pStyle w:val="Compact"/>
      </w:pPr>
      <w:r>
        <w:rPr>
          <w:bCs/>
          <w:b/>
        </w:rPr>
        <w:t xml:space="preserve">Linguistic Accuracy:</w:t>
      </w:r>
      <w:r>
        <w:t xml:space="preserve"> </w:t>
      </w:r>
      <w:r>
        <w:t xml:space="preserve">Measured by comparing AI output against certified human translations of identical source texts.</w:t>
      </w:r>
    </w:p>
    <w:p>
      <w:pPr>
        <w:numPr>
          <w:ilvl w:val="0"/>
          <w:numId w:val="1001"/>
        </w:numPr>
        <w:pStyle w:val="Compact"/>
      </w:pPr>
      <w:r>
        <w:rPr>
          <w:bCs/>
          <w:b/>
        </w:rPr>
        <w:t xml:space="preserve">Latency:</w:t>
      </w:r>
    </w:p>
    <w:p>
      <w:pPr>
        <w:numPr>
          <w:ilvl w:val="0"/>
          <w:numId w:val="1001"/>
        </w:numPr>
        <w:pStyle w:val="Compact"/>
      </w:pPr>
      <w:r>
        <w:rPr>
          <w:bCs/>
          <w:b/>
        </w:rPr>
        <w:t xml:space="preserve">Dialect Adaptation Rate:</w:t>
      </w:r>
      <w:r>
        <w:t xml:space="preserve">The system’s ability to correctly interpret Kansai-ben phrases without requiring manual correction.</w:t>
      </w:r>
    </w:p>
    <w:p>
      <w:pPr>
        <w:pStyle w:val="FirstParagraph"/>
      </w:pPr>
      <w:r>
        <w:t xml:space="preserve">We utilized two primary platforms for this study: a handheld real-time voice translator and an augmented reality (AR) smart glass interface. Both were tasked with performing the role of a Translator Interpreter for various user groups, including business executives, medical tourists, and leisure travelers.</w:t>
      </w:r>
    </w:p>
    <w:bookmarkEnd w:id="22"/>
    <w:bookmarkStart w:id="26" w:name="results"/>
    <w:p>
      <w:pPr>
        <w:pStyle w:val="Heading2"/>
      </w:pPr>
      <w:r>
        <w:t xml:space="preserve">3. Results</w:t>
      </w:r>
    </w:p>
    <w:bookmarkStart w:id="23" w:name="standard-vs.-dialectal-performance"/>
    <w:p>
      <w:pPr>
        <w:pStyle w:val="Heading3"/>
      </w:pPr>
      <w:r>
        <w:t xml:space="preserve">3.1 Standard vs. Dialectal Performance</w:t>
      </w:r>
    </w:p>
    <w:p>
      <w:pPr>
        <w:pStyle w:val="FirstParagraph"/>
      </w:pPr>
      <w:r>
        <w:t xml:space="preserve">Data analysis reveals a stark contrast in performance depending on the register of Japanese spoken by the local interlocutors. In formal business settings within Umeda, where standard Japanese is predominantly used, the Translator Interpreter demonstrated an accuracy rate of 94%. However, in casual commercial interactions within Dotonbori and Shinsekai, where Kansai-ben is heavily utilized, accuracy dropped to 76%.</w:t>
      </w:r>
    </w:p>
    <w:p>
      <w:pPr>
        <w:pStyle w:val="BodyText"/>
      </w:pPr>
      <w:r>
        <w:t xml:space="preserve">Specific errors were observed in the interpretation of honorifics and humble forms. For instance, the phrase "Omedetou gozaimasu" (Congratulations) was often correctly translated in standard contexts but mistranslated as "Good job" when used in casual Osaka slang variations such as "Medeteyo," leading to slight tonal mismatches that affected social rapport.</w:t>
      </w:r>
    </w:p>
    <w:bookmarkEnd w:id="23"/>
    <w:bookmarkStart w:id="24" w:name="latency-and-network-stability"/>
    <w:p>
      <w:pPr>
        <w:pStyle w:val="Heading3"/>
      </w:pPr>
      <w:r>
        <w:t xml:space="preserve">3.2 Latency and Network Stability</w:t>
      </w:r>
    </w:p>
    <w:p>
      <w:pPr>
        <w:pStyle w:val="FirstParagraph"/>
      </w:pPr>
      <w:r>
        <w:t xml:space="preserve">The high density of Wi-Fi users in Japan Osaka, particularly near major transit hubs like Namba Station, resulted in intermittent latency spikes. The average delay for the Translator Interpreter during peak hours (12:00 PM – 2:00 PM) was recorded at 4.5 seconds, which is above the acceptable threshold of 3 seconds for natural conversation flow. This delay significantly impacted the user experience, causing conversational breakdowns in fast-paced bargaining scenarios typical of Osaka’s markets.</w:t>
      </w:r>
    </w:p>
    <w:bookmarkEnd w:id="24"/>
    <w:bookmarkStart w:id="25" w:name="location"/>
    <w:p>
      <w:pPr>
        <w:pStyle w:val="Heading3"/>
      </w:pPr>
      <w:r>
        <w:t xml:space="preserve">3.3 Cultural Contextualization</w:t>
      </w:r>
    </w:p>
    <w:p>
      <w:pPr>
        <w:pStyle w:val="FirstParagraph"/>
      </w:pPr>
      <w:r>
        <w:t xml:space="preserve">A significant aspect of being a Translator Interpreter in Japan involves understanding non-verbal cues and cultural politeness norms. The systems tested struggled with indirect refusal phrases common in Japanese culture (e.g., "It is difficult" meaning "No"). In the context of Japan Osaka, where humor and directness are sometimes blended with traditional politeness, the AI frequently misinterpreted playful banter as serious inquiry or aggression.</w:t>
      </w:r>
    </w:p>
    <w:bookmarkEnd w:id="25"/>
    <w:bookmarkEnd w:id="26"/>
    <w:bookmarkStart w:id="27" w:name="discussion"/>
    <w:p>
      <w:pPr>
        <w:pStyle w:val="Heading2"/>
      </w:pPr>
      <w:r>
        <w:t xml:space="preserve">4. Discussion</w:t>
      </w:r>
    </w:p>
    <w:p>
      <w:pPr>
        <w:pStyle w:val="FirstParagraph"/>
      </w:pPr>
      <w:r>
        <w:t xml:space="preserve">The data suggests that while current Translator Interpreter technologies are viable for basic transactional needs, they lack the sophistication required for nuanced cultural integration in specific regional environments like Japan Osaka. The failure to accurately process Kansai-ben is not merely a technical glitch but a reflection of training data biases toward Tokyo-centric media.</w:t>
      </w:r>
    </w:p>
    <w:p>
      <w:pPr>
        <w:pStyle w:val="BodyText"/>
      </w:pPr>
      <w:r>
        <w:t xml:space="preserve">Furthermore, the latency issues highlight infrastructure limitations that must be addressed before such tools can be reliably used for critical services, such as emergency medical interpretation. The social friction caused by mistranslation of local dialects can also lead to misunderstandings regarding hospitality (Omotenashi), potentially deterring future tourism to Japan Osaka.</w:t>
      </w:r>
    </w:p>
    <w:bookmarkEnd w:id="27"/>
    <w:bookmarkStart w:id="28" w:name="conclusions"/>
    <w:p>
      <w:pPr>
        <w:pStyle w:val="Heading2"/>
      </w:pPr>
      <w:r>
        <w:t xml:space="preserve">5. Conclusion</w:t>
      </w:r>
    </w:p>
    <w:p>
      <w:pPr>
        <w:pStyle w:val="FirstParagraph"/>
      </w:pPr>
      <w:r>
        <w:t xml:space="preserve">In conclusion, this laboratory report demonstrates that the implementation of Translator Interpreter systems in Japan Osaka requires specialized localization protocols. To achieve high efficacy, these systems must be retrained with extensive datasets of Kansai dialects and trained to recognize cultural pragmatics specific to Western Japan. Until such enhancements are made, human interpreters remain indispensable for complex interactions.</w:t>
      </w:r>
    </w:p>
    <w:p>
      <w:pPr>
        <w:pStyle w:val="BodyText"/>
      </w:pPr>
      <w:r>
        <w:t xml:space="preserve">We recommend that developers prioritize offline processing capabilities to mitigate latency issues in crowded areas and partner with local linguists in Japan Osaka to refine the semantic understanding of regional idioms. By addressing these factors, Translator Interpreter technology can become a seamless bridge between global visitors and the unique cultural fabric of Japan Osaka.</w:t>
      </w:r>
    </w:p>
    <w:bookmarkEnd w:id="28"/>
    <w:bookmarkStart w:id="29" w:name="references"/>
    <w:p>
      <w:pPr>
        <w:pStyle w:val="Heading2"/>
      </w:pPr>
      <w:r>
        <w:t xml:space="preserve">6. References</w:t>
      </w:r>
    </w:p>
    <w:p>
      <w:pPr>
        <w:numPr>
          <w:ilvl w:val="0"/>
          <w:numId w:val="1002"/>
        </w:numPr>
        <w:pStyle w:val="Compact"/>
      </w:pPr>
      <w:r>
        <w:t xml:space="preserve">National Institute for Language Education. (2023).</w:t>
      </w:r>
      <w:r>
        <w:t xml:space="preserve"> </w:t>
      </w:r>
      <w:r>
        <w:rPr>
          <w:iCs/>
          <w:i/>
        </w:rPr>
        <w:t xml:space="preserve">Dialectal Variations in Urban West Japan</w:t>
      </w:r>
      <w:r>
        <w:t xml:space="preserve">.</w:t>
      </w:r>
    </w:p>
    <w:p>
      <w:pPr>
        <w:numPr>
          <w:ilvl w:val="0"/>
          <w:numId w:val="1002"/>
        </w:numPr>
        <w:pStyle w:val="Compact"/>
      </w:pPr>
      <w:r>
        <w:t xml:space="preserve">TechJapan Global Solutions. (2023). "Latency Metrics in High-Density Wi-Fi Environments."</w:t>
      </w:r>
    </w:p>
    <w:p>
      <w:pPr>
        <w:numPr>
          <w:ilvl w:val="0"/>
          <w:numId w:val="1002"/>
        </w:numPr>
        <w:pStyle w:val="Compact"/>
      </w:pPr>
      <w:r>
        <w:t xml:space="preserve">Kyoto University Linguistics Department. (2022). "Honorifics and Artificial Intelligence: A Cross-Cultural Analysis."</w:t>
      </w:r>
    </w:p>
    <w:p>
      <w:pPr>
        <w:pStyle w:val="FirstParagraph"/>
      </w:pPr>
      <w:r>
        <w:t xml:space="preserve">© 2023 Laboratory for Applied Linguistics &amp; Technology. All Rights Reserved.</w:t>
      </w:r>
    </w:p>
    <w:p>
      <w:pPr>
        <w:pStyle w:val="BodyText"/>
      </w:pPr>
      <w:r>
        <w:t xml:space="preserve">JAPAN OSAKA | TRANSLATOR INTERPRETER LAB REPORT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Translator Interpreter Implementation in Japan Osaka</dc:title>
  <dc:creator/>
  <dc:language>en</dc:language>
  <cp:keywords/>
  <dcterms:created xsi:type="dcterms:W3CDTF">2026-07-29T11:59:25Z</dcterms:created>
  <dcterms:modified xsi:type="dcterms:W3CDTF">2026-07-29T11:59:25Z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