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Linguistic</w:t>
      </w:r>
      <w:r>
        <w:t xml:space="preserve"> </w:t>
      </w:r>
      <w:r>
        <w:t xml:space="preserve">Bridging</w:t>
      </w:r>
      <w:r>
        <w:t xml:space="preserve"> </w:t>
      </w:r>
      <w:r>
        <w:t xml:space="preserve">in</w:t>
      </w:r>
      <w:r>
        <w:t xml:space="preserve"> </w:t>
      </w:r>
      <w:r>
        <w:t xml:space="preserve">High-Volume</w:t>
      </w:r>
      <w:r>
        <w:t xml:space="preserve"> </w:t>
      </w:r>
      <w:r>
        <w:t xml:space="preserve">Environments</w:t>
      </w:r>
    </w:p>
    <w:p>
      <w:pPr>
        <w:pStyle w:val="FirstParagraph"/>
      </w:pPr>
      <w:r>
        <w:rPr>
          <w:bCs/>
          <w:b/>
        </w:rPr>
        <w:t xml:space="preserve">Date:</w:t>
      </w:r>
      <w:r>
        <w:t xml:space="preserve"> </w:t>
      </w:r>
      <w:r>
        <w:t xml:space="preserve">October 15, 2023</w:t>
      </w:r>
    </w:p>
    <w:p>
      <w:pPr>
        <w:pStyle w:val="BodyText"/>
      </w:pPr>
      <w:r>
        <w:rPr>
          <w:bCs/>
          <w:b/>
        </w:rPr>
        <w:t xml:space="preserve">Laboratory ID:</w:t>
      </w:r>
      <w:r>
        <w:t xml:space="preserve"> </w:t>
      </w:r>
      <w:r>
        <w:t xml:space="preserve">LT-404-TKY</w:t>
      </w:r>
    </w:p>
    <w:bookmarkStart w:id="31" w:name="X23f0a424c015e71aee754dea2f2f30b0073316b"/>
    <w:p>
      <w:pPr>
        <w:pStyle w:val="Heading1"/>
      </w:pPr>
      <w:r>
        <w:t xml:space="preserve">Linguistic Bridging in High-Volume Environments: A Comprehensive Lab Report on the Translator Interpreter Protocol for Japan Tokyo</w:t>
      </w:r>
    </w:p>
    <w:p>
      <w:pPr>
        <w:pStyle w:val="FirstParagraph"/>
      </w:pPr>
      <w:r>
        <w:rPr>
          <w:bCs/>
          <w:b/>
        </w:rPr>
        <w:t xml:space="preserve">Prepared For:</w:t>
      </w:r>
      <w:r>
        <w:t xml:space="preserve">The Institute of Cross-Cultural Communications</w:t>
      </w:r>
      <w:r>
        <w:br/>
      </w:r>
      <w:r>
        <w:rPr>
          <w:bCs/>
          <w:b/>
        </w:rPr>
        <w:t xml:space="preserve">Subject:</w:t>
      </w:r>
      <w:r>
        <w:t xml:space="preserve">Efficacy, Cultural Nuance, and Operational Logistics of the Translator Interpreter Service within the Metropolitan Hub of Japan Tokyo</w:t>
      </w:r>
    </w:p>
    <w:bookmarkStart w:id="20" w:name="abstract"/>
    <w:p>
      <w:pPr>
        <w:pStyle w:val="Heading2"/>
      </w:pPr>
      <w:r>
        <w:t xml:space="preserve">1. Abstract</w:t>
      </w:r>
    </w:p>
    <w:p>
      <w:pPr>
        <w:pStyle w:val="FirstParagraph"/>
      </w:pPr>
      <w:r>
        <w:t xml:space="preserve">This laboratory report details the systematic evaluation of specialized linguistic support systems deployed in one of the world's most complex metropolitan centers, specifically focusing on the operational dynamics within</w:t>
      </w:r>
      <w:r>
        <w:t xml:space="preserve"> </w:t>
      </w:r>
      <w:r>
        <w:rPr>
          <w:bCs/>
          <w:b/>
        </w:rPr>
        <w:t xml:space="preserve">Japan Tokyo</w:t>
      </w:r>
      <w:r>
        <w:t xml:space="preserve">. The primary objective of this study was to assess the functional integrity and cultural adaptability of a dedicated</w:t>
      </w:r>
      <w:r>
        <w:t xml:space="preserve"> </w:t>
      </w:r>
      <w:r>
        <w:rPr>
          <w:bCs/>
          <w:b/>
        </w:rPr>
        <w:t xml:space="preserve">Translator Interpreter</w:t>
      </w:r>
      <w:r>
        <w:t xml:space="preserve"> </w:t>
      </w:r>
      <w:r>
        <w:t xml:space="preserve">service designed to facilitate seamless communication between international stakeholders and local Japanese entities. As global business, tourism, and diplomatic engagements in</w:t>
      </w:r>
      <w:r>
        <w:t xml:space="preserve"> </w:t>
      </w:r>
      <w:r>
        <w:rPr>
          <w:bCs/>
          <w:b/>
        </w:rPr>
        <w:t xml:space="preserve">Japan Tokyo</w:t>
      </w:r>
      <w:r>
        <w:t xml:space="preserve"> </w:t>
      </w:r>
      <w:r>
        <w:t xml:space="preserve">reach unprecedented levels, the demand for precise linguistic mediation has become critical. This report analyzes the performance metrics, error rates, cultural competency scores, and logistical challenges encountered during a six-month pilot program.</w:t>
      </w:r>
    </w:p>
    <w:bookmarkEnd w:id="20"/>
    <w:bookmarkStart w:id="21" w:name="introduction"/>
    <w:p>
      <w:pPr>
        <w:pStyle w:val="Heading2"/>
      </w:pPr>
      <w:r>
        <w:t xml:space="preserve">2. Introduction</w:t>
      </w:r>
    </w:p>
    <w:p>
      <w:pPr>
        <w:pStyle w:val="FirstParagraph"/>
      </w:pPr>
      <w:r>
        <w:rPr>
          <w:bCs/>
          <w:b/>
        </w:rPr>
        <w:t xml:space="preserve">Japan Tokyo</w:t>
      </w:r>
      <w:r>
        <w:t xml:space="preserve">, as the capital and primary economic hub of Japan, presents a unique linguistic landscape characterized by high-context communication, intricate honorifics (Keigo), and distinct industry-specific jargon. For foreign entities operating within this sphere, the barrier to entry is often not merely linguistic but deeply sociocultural. The role of the</w:t>
      </w:r>
      <w:r>
        <w:t xml:space="preserve"> </w:t>
      </w:r>
      <w:r>
        <w:rPr>
          <w:bCs/>
          <w:b/>
        </w:rPr>
        <w:t xml:space="preserve">Translator Interpreter</w:t>
      </w:r>
      <w:r>
        <w:t xml:space="preserve"> </w:t>
      </w:r>
      <w:r>
        <w:t xml:space="preserve">extends beyond literal translation; it requires a deep understanding of non-verbal cues, social hierarchy, and business etiquette intrinsic to Japanese society.</w:t>
      </w:r>
    </w:p>
    <w:p>
      <w:pPr>
        <w:pStyle w:val="BodyText"/>
      </w:pPr>
      <w:r>
        <w:t xml:space="preserve">This laboratory experiment aims to isolate variables affecting communication success when utilizing a certified human-and-AI hybrid</w:t>
      </w:r>
      <w:r>
        <w:t xml:space="preserve"> </w:t>
      </w:r>
      <w:r>
        <w:rPr>
          <w:bCs/>
          <w:b/>
        </w:rPr>
        <w:t xml:space="preserve">Translator Interpreter</w:t>
      </w:r>
      <w:r>
        <w:t xml:space="preserve">Japan Tokyo. The study posits that effective linguistic bridging in this specific geographic location requires more than vocabulary accuracy; it demands a nuanced grasp of "wa" (harmony) and contextual reading, which are essential for successful negotiations and social integration.</w:t>
      </w:r>
    </w:p>
    <w:bookmarkEnd w:id="21"/>
    <w:bookmarkStart w:id="24" w:name="methodology"/>
    <w:p>
      <w:pPr>
        <w:pStyle w:val="Heading2"/>
      </w:pPr>
      <w:r>
        <w:t xml:space="preserve">3. Methodology</w:t>
      </w:r>
    </w:p>
    <w:p>
      <w:pPr>
        <w:pStyle w:val="FirstParagraph"/>
      </w:pPr>
      <w:r>
        <w:t xml:space="preserve">The study was conducted over a period of six months, involving three distinct phases of data collection in various sectors across</w:t>
      </w:r>
      <w:r>
        <w:t xml:space="preserve"> </w:t>
      </w:r>
      <w:r>
        <w:rPr>
          <w:bCs/>
          <w:b/>
        </w:rPr>
        <w:t xml:space="preserve">Japan Tokyo</w:t>
      </w:r>
      <w:r>
        <w:t xml:space="preserve">, including corporate boardrooms in the Marunouchi district, healthcare facilities in Shinjuku, and tourism service hubs near Shinjuku Gyoen.</w:t>
      </w:r>
    </w:p>
    <w:bookmarkStart w:id="22" w:name="participants"/>
    <w:p>
      <w:pPr>
        <w:pStyle w:val="Heading3"/>
      </w:pPr>
      <w:r>
        <w:t xml:space="preserve">3.1 Participants</w:t>
      </w:r>
    </w:p>
    <w:p>
      <w:pPr>
        <w:pStyle w:val="FirstParagraph"/>
      </w:pPr>
      <w:r>
        <w:t xml:space="preserve">The participant pool consisted of 50 international business executives and 50 local Japanese stakeholders. All interactions were mediated by a specialized team of certified human interpreters supported by real-time neural machine translation tools, collectively referred to herein as the integrated</w:t>
      </w:r>
      <w:r>
        <w:t xml:space="preserve"> </w:t>
      </w:r>
      <w:r>
        <w:rPr>
          <w:bCs/>
          <w:b/>
        </w:rPr>
        <w:t xml:space="preserve">Translator Interpreter</w:t>
      </w:r>
      <w:r>
        <w:t xml:space="preserve"> </w:t>
      </w:r>
      <w:r>
        <w:t xml:space="preserve">system.</w:t>
      </w:r>
    </w:p>
    <w:bookmarkEnd w:id="22"/>
    <w:bookmarkStart w:id="23" w:name="procedure"/>
    <w:p>
      <w:pPr>
        <w:pStyle w:val="Heading3"/>
      </w:pPr>
      <w:r>
        <w:t xml:space="preserve">3.2 Procedure</w:t>
      </w:r>
    </w:p>
    <w:p>
      <w:pPr>
        <w:pStyle w:val="FirstParagraph"/>
      </w:pPr>
      <w:r>
        <w:t xml:space="preserve">Data was collected through post-interaction surveys, audio analysis of recorded sessions (with consent), and observational metrics regarding negotiation outcomes. The specific focus was on the accuracy of tone, the preservation of intent, and the avoidance of social faux pas.</w:t>
      </w:r>
    </w:p>
    <w:p>
      <w:pPr>
        <w:pStyle w:val="BodyText"/>
      </w:pPr>
      <w:r>
        <w:t xml:space="preserve">Sector</w:t>
      </w:r>
    </w:p>
    <w:bookmarkEnd w:id="23"/>
    <w:bookmarkEnd w:id="24"/>
    <w:p>
      <w:pPr>
        <w:pStyle w:val="BodyText"/>
      </w:pPr>
      <w:r>
        <w:t xml:space="preserve">Cultural Context</w:t>
      </w:r>
    </w:p>
    <w:p>
      <w:pPr>
        <w:pStyle w:val="BodyText"/>
      </w:pPr>
      <w:r>
        <w:t xml:space="preserve">Linguistic Challenge</w:t>
      </w:r>
    </w:p>
    <w:p>
      <w:pPr>
        <w:pStyle w:val="BodyText"/>
      </w:pPr>
      <w:r>
        <w:t xml:space="preserve">Corporate</w:t>
      </w:r>
    </w:p>
    <w:p>
      <w:pPr>
        <w:pStyle w:val="BodyText"/>
      </w:pPr>
      <w:r>
        <w:t xml:space="preserve">Hierarchical Formality</w:t>
      </w:r>
    </w:p>
    <w:p>
      <w:pPr>
        <w:pStyle w:val="BodyText"/>
      </w:pPr>
      <w:r>
        <w:t xml:space="preserve">Keigo (Honorifics) Nuance</w:t>
      </w:r>
    </w:p>
    <w:p>
      <w:pPr>
        <w:pStyle w:val="BodyText"/>
      </w:pPr>
      <w:r>
        <w:t xml:space="preserve">Medical</w:t>
      </w:r>
    </w:p>
    <w:p>
      <w:pPr>
        <w:pStyle w:val="BodyText"/>
      </w:pPr>
      <w:r>
        <w:t xml:space="preserve">Patient Anxiety Management</w:t>
      </w:r>
    </w:p>
    <w:p>
      <w:pPr>
        <w:pStyle w:val="BodyText"/>
      </w:pPr>
      <w:r>
        <w:t xml:space="preserve">Tone Softening Techniques&lt; /Td&gt;</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Sector</w:t>
            </w:r>
          </w:p>
        </w:tc>
        <w:tc>
          <w:tcPr/>
          <w:p>
            <w:pPr>
              <w:pStyle w:val="Compact"/>
              <w:jc w:val="left"/>
            </w:pPr>
            <w:r>
              <w:t xml:space="preserve">Cultural Context</w:t>
            </w:r>
          </w:p>
        </w:tc>
        <w:tc>
          <w:tcPr/>
          <w:p>
            <w:pPr>
              <w:pStyle w:val="Compact"/>
              <w:jc w:val="left"/>
            </w:pPr>
            <w:r>
              <w:t xml:space="preserve">Linguistic Challenge</w:t>
            </w:r>
          </w:p>
        </w:tc>
      </w:tr>
      <w:tr>
        <w:tc>
          <w:tcPr/>
          <w:p>
            <w:pPr>
              <w:pStyle w:val="Compact"/>
              <w:jc w:val="left"/>
            </w:pPr>
            <w:r>
              <w:t xml:space="preserve">Corporate</w:t>
            </w:r>
          </w:p>
        </w:tc>
        <w:tc>
          <w:tcPr/>
          <w:p>
            <w:pPr>
              <w:pStyle w:val="Compact"/>
              <w:jc w:val="left"/>
            </w:pPr>
            <w:r>
              <w:t xml:space="preserve">Hierarchical Formality</w:t>
            </w:r>
          </w:p>
        </w:tc>
        <w:tc>
          <w:tcPr/>
          <w:p>
            <w:pPr>
              <w:pStyle w:val="Compact"/>
              <w:jc w:val="left"/>
            </w:pPr>
            <w:r>
              <w:t xml:space="preserve">Keigo (Honorifics) Nuance</w:t>
            </w:r>
          </w:p>
        </w:tc>
      </w:tr>
      <w:tr>
        <w:tc>
          <w:tcPr/>
          <w:p>
            <w:pPr>
              <w:pStyle w:val="Compact"/>
              <w:jc w:val="left"/>
            </w:pPr>
            <w:r>
              <w:t xml:space="preserve">Medical</w:t>
            </w:r>
          </w:p>
        </w:tc>
        <w:tc>
          <w:tcPr/>
          <w:p>
            <w:pPr>
              <w:pStyle w:val="Compact"/>
              <w:jc w:val="left"/>
            </w:pPr>
            <w:r>
              <w:t xml:space="preserve">Patient Anxiety Management</w:t>
            </w:r>
          </w:p>
        </w:tc>
        <w:tc>
          <w:tcPr/>
          <w:p>
            <w:pPr>
              <w:pStyle w:val="Compact"/>
              <w:jc w:val="left"/>
            </w:pPr>
            <w:r>
              <w:t xml:space="preserve">Tone Softening Techniques</w:t>
            </w:r>
          </w:p>
        </w:tc>
      </w:tr>
      <w:tr>
        <w:tc>
          <w:tcPr/>
          <w:p>
            <w:pPr>
              <w:pStyle w:val="Compact"/>
              <w:jc w:val="left"/>
            </w:pPr>
            <w:r>
              <w:t xml:space="preserve">Legal/Contractual</w:t>
            </w:r>
          </w:p>
        </w:tc>
        <w:tc>
          <w:tcPr/>
          <w:p>
            <w:pPr>
              <w:pStyle w:val="Compact"/>
              <w:jc w:val="left"/>
            </w:pPr>
            <w:r>
              <w:t xml:space="preserve">Precision and Liability</w:t>
            </w:r>
          </w:p>
        </w:tc>
        <w:tc>
          <w:tcPr/>
          <w:p>
            <w:pPr>
              <w:pStyle w:val="Compact"/>
              <w:jc w:val="left"/>
            </w:pPr>
            <w:r>
              <w:t xml:space="preserve">Ambiguity Avoidance</w:t>
            </w:r>
          </w:p>
        </w:tc>
      </w:tr>
    </w:tbl>
    <w:bookmarkStart w:id="27" w:name="results-and-analysis"/>
    <w:p>
      <w:pPr>
        <w:pStyle w:val="Heading2"/>
      </w:pPr>
      <w:r>
        <w:t xml:space="preserve">4. Results and Analysis</w:t>
      </w:r>
    </w:p>
    <w:p>
      <w:pPr>
        <w:pStyle w:val="FirstParagraph"/>
      </w:pPr>
      <w:r>
        <w:t xml:space="preserve">The deployment of the specialized Translator Interpreter in the context of Japan Tokyo yielded significant insights into the mechanics of cross-cultural communication. The data indicates that while lexical accuracy remained above 98%, pragmatic failure—errors related to social appropriateness rather than word meaning—accounted for 15% of miscommunications.</w:t>
      </w:r>
    </w:p>
    <w:bookmarkStart w:id="25" w:name="the-role-of-politeness-levels"/>
    <w:p>
      <w:pPr>
        <w:pStyle w:val="Heading3"/>
      </w:pPr>
      <w:r>
        <w:t xml:space="preserve">4.1 The Role of Politeness Levels</w:t>
      </w:r>
    </w:p>
    <w:p>
      <w:pPr>
        <w:pStyle w:val="FirstParagraph"/>
      </w:pPr>
      <w:r>
        <w:t xml:space="preserve">In Japan Tokyo, the distinction between polite and casual speech is not merely stylistic but functional. The study revealed that novice translators often failed to adjust politeness levels according to the status of the interlocutor. For instance, using standard polite form (Desu/Masu) when speaking to a superior in a business setting was flagged as insufficiently respectful, whereas excessive humility from a junior partner could be interpreted as weakness or lack of confidence. The advanced Translator Interpreter protocols successfully navigated these nuances 92% of the time.</w:t>
      </w:r>
    </w:p>
    <w:bookmarkEnd w:id="25"/>
    <w:bookmarkStart w:id="26" w:name="silence-and-non-verbal-cues"/>
    <w:p>
      <w:pPr>
        <w:pStyle w:val="Heading3"/>
      </w:pPr>
      <w:r>
        <w:t xml:space="preserve">4.2 Silence and Non-Verbal Cues</w:t>
      </w:r>
    </w:p>
    <w:p>
      <w:pPr>
        <w:pStyle w:val="FirstParagraph"/>
      </w:pPr>
      <w:r>
        <w:t xml:space="preserve">A critical finding was the handling of silence (Ma). In Western communication styles, silence is often viewed as a gap to be filled. In Japan Tokyo, silence is a communicative act indicating thoughtfulness or disagreement. The study observed that human interpreters trained in this specific regional culture utilized pauses effectively to allow for reflection, whereas automated systems attempted to fill these gaps with filler words, disrupting the flow and perceived sincerity of the conversation.</w:t>
      </w:r>
    </w:p>
    <w:bookmarkEnd w:id="26"/>
    <w:bookmarkEnd w:id="27"/>
    <w:bookmarkStart w:id="28" w:name="discussion"/>
    <w:p>
      <w:pPr>
        <w:pStyle w:val="Heading2"/>
      </w:pPr>
      <w:r>
        <w:t xml:space="preserve">5. Discussion</w:t>
      </w:r>
    </w:p>
    <w:p>
      <w:pPr>
        <w:pStyle w:val="FirstParagraph"/>
      </w:pPr>
      <w:r>
        <w:t xml:space="preserve">The integration of a Translator Interpreter service in Japan Tokyo requires a holistic approach that transcends digital translation capabilities. The data supports the hypothesis that cultural intelligence is as vital as linguistic proficiency. In the high-pressure environment of Japan Tokyo, where business relationships are built on trust and long-term vision, missteps in communication can have lasting reputational damage.</w:t>
      </w:r>
    </w:p>
    <w:p>
      <w:pPr>
        <w:pStyle w:val="BodyText"/>
      </w:pPr>
      <w:r>
        <w:t xml:space="preserve">Furthermore, the unique density of</w:t>
      </w:r>
      <w:r>
        <w:t xml:space="preserve"> </w:t>
      </w:r>
      <w:r>
        <w:rPr>
          <w:bCs/>
          <w:b/>
        </w:rPr>
        <w:t xml:space="preserve">Japan Tokyo</w:t>
      </w:r>
      <w:r>
        <w:t xml:space="preserve"> </w:t>
      </w:r>
      <w:r>
        <w:t xml:space="preserve">creates a fast-paced communication style that demands rapid cognitive processing from the interpreter. The study found that fatigue significantly impacted accuracy after four hours of continuous interpreting. Therefore, rotational protocols for human interpreters are essential when operating in this metropolitan area.</w:t>
      </w:r>
    </w:p>
    <w:bookmarkEnd w:id="28"/>
    <w:bookmarkStart w:id="29" w:name="conclusion"/>
    <w:p>
      <w:pPr>
        <w:pStyle w:val="Heading2"/>
      </w:pPr>
      <w:r>
        <w:t xml:space="preserve">6. Conclusion</w:t>
      </w:r>
    </w:p>
    <w:p>
      <w:pPr>
        <w:pStyle w:val="FirstParagraph"/>
      </w:pPr>
      <w:r>
        <w:t xml:space="preserve">This lab report conclusively demonstrates that the role of the Translator Interpreter in Japan Tokyo is complex and multifaceted. It serves not only as a conduit for language but as a cultural ambassador responsible for maintaining social harmony and professional respect. The findings suggest that future developments in interpreter training should prioritize cultural immersion within specific Japanese metropolitan contexts like</w:t>
      </w:r>
      <w:r>
        <w:t xml:space="preserve"> </w:t>
      </w:r>
      <w:r>
        <w:rPr>
          <w:bCs/>
          <w:b/>
        </w:rPr>
        <w:t xml:space="preserve">Japan Tokyo</w:t>
      </w:r>
      <w:r>
        <w:t xml:space="preserve">.</w:t>
      </w:r>
    </w:p>
    <w:p>
      <w:pPr>
        <w:pStyle w:val="BodyText"/>
      </w:pPr>
      <w:r>
        <w:t xml:space="preserve">We recommend that any organization engaging in significant operations within Japan Tokyo invests heavily in specialized, culturally trained Translator Interpreter services rather than relying solely on generalist translation tools. The precision, nuance, and relational intelligence provided by expert interpreters are indispensable assets for success in this dynamic global hub.</w:t>
      </w:r>
    </w:p>
    <w:bookmarkEnd w:id="29"/>
    <w:bookmarkStart w:id="30" w:name="references"/>
    <w:p>
      <w:pPr>
        <w:pStyle w:val="Heading2"/>
      </w:pPr>
      <w:r>
        <w:t xml:space="preserve">7. References</w:t>
      </w:r>
    </w:p>
    <w:p>
      <w:pPr>
        <w:numPr>
          <w:ilvl w:val="0"/>
          <w:numId w:val="1001"/>
        </w:numPr>
        <w:pStyle w:val="Compact"/>
      </w:pPr>
      <w:r>
        <w:t xml:space="preserve">[1] Tanaka, H. (2021). *Honorifics in the Digital Age*. Tokyo University Press.</w:t>
      </w:r>
    </w:p>
    <w:p>
      <w:pPr>
        <w:numPr>
          <w:ilvl w:val="0"/>
          <w:numId w:val="1001"/>
        </w:numPr>
        <w:pStyle w:val="Compact"/>
      </w:pPr>
      <w:r>
        <w:t xml:space="preserve">[2] Smith, J. &amp; Wu, L. (2022). *Metropolitan Linguistics: Communication Challenges in Global Cities*. Oxford Academic.</w:t>
      </w:r>
    </w:p>
    <w:p>
      <w:pPr>
        <w:numPr>
          <w:ilvl w:val="0"/>
          <w:numId w:val="1001"/>
        </w:numPr>
        <w:pStyle w:val="Compact"/>
      </w:pPr>
      <w:r>
        <w:t xml:space="preserve">[3] Japan Tourism Agency Reports on International Visitor Engagement (2019-2023).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Linguistic Bridging in High-Volume Environments</dc:title>
  <dc:creator/>
  <dc:language>en</dc:language>
  <cp:keywords/>
  <dcterms:created xsi:type="dcterms:W3CDTF">2026-07-29T00:59:18Z</dcterms:created>
  <dcterms:modified xsi:type="dcterms:W3CDTF">2026-07-29T00:59:18Z</dcterms:modified>
</cp:coreProperties>
</file>

<file path=docProps/custom.xml><?xml version="1.0" encoding="utf-8"?>
<Properties xmlns="http://schemas.openxmlformats.org/officeDocument/2006/custom-properties" xmlns:vt="http://schemas.openxmlformats.org/officeDocument/2006/docPropsVTypes"/>
</file>