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Kenya</w:t>
      </w:r>
      <w:r>
        <w:t xml:space="preserve"> </w:t>
      </w:r>
      <w:r>
        <w:t xml:space="preserve">Nairobi</w:t>
      </w:r>
    </w:p>
    <w:bookmarkStart w:id="33" w:name="Xa268167819560c62af0a759775e8e312b73bb1c"/>
    <w:p>
      <w:pPr>
        <w:pStyle w:val="Heading1"/>
      </w:pPr>
      <w:r>
        <w:t xml:space="preserve">Laboratory Report: Integration of Translator Interpreter Systems in Kenya Nairobi</w:t>
      </w:r>
    </w:p>
    <w:bookmarkStart w:id="20" w:name="abstract"/>
    <w:p>
      <w:pPr>
        <w:pStyle w:val="Heading2"/>
      </w:pPr>
      <w:r>
        <w:t xml:space="preserve">Abstract</w:t>
      </w:r>
    </w:p>
    <w:p>
      <w:pPr>
        <w:pStyle w:val="FirstParagraph"/>
      </w:pPr>
      <w:r>
        <w:t xml:space="preserve">This laboratory report details the experimental and practical evaluation of automated and semi-automated translator interpreter technologies within the specific sociolinguistic context of Kenya Nairobi. As Nairobi serves as a major diplomatic, technological, and economic hub in East Africa, the demand for efficient cross-linguistic communication is critical. This study assesses the accuracy, latency, and cultural nuance retention of various translation models when processing Swahili-English pairs and other local dialects prevalent in Nairobi. The findings suggest that while AI-driven translator interpreter tools provide significant efficiency gains in routine administrative tasks, human-in-the-loop systems remain superior for legal, medical, and high-stakes diplomatic contexts within the region.</w:t>
      </w:r>
    </w:p>
    <w:bookmarkEnd w:id="20"/>
    <w:bookmarkStart w:id="21" w:name="introduction-and-background"/>
    <w:p>
      <w:pPr>
        <w:pStyle w:val="Heading2"/>
      </w:pPr>
      <w:r>
        <w:t xml:space="preserve">1. Introduction and Background</w:t>
      </w:r>
    </w:p>
    <w:p>
      <w:pPr>
        <w:pStyle w:val="FirstParagraph"/>
      </w:pPr>
      <w:r>
        <w:t xml:space="preserve">The Republic of Kenya is a multilingual nation with Swahili as the national language and English as an official language, used extensively in government, business, and education. Nairobi, the capital city, acts as a melting pot where diverse linguistic groups converge. The implementation of advanced translator interpreter solutions is not merely a convenience but a necessity for operational efficiency in this bustling metropolis.</w:t>
      </w:r>
    </w:p>
    <w:p>
      <w:pPr>
        <w:pStyle w:val="BodyText"/>
      </w:pPr>
      <w:r>
        <w:t xml:space="preserve">The primary objective of this laboratory exercise was to determine the efficacy of current Neural Machine Translation (NMT) engines and simultaneous interpretation software when deployed in real-world scenarios in Kenya Nairobi. Special attention was paid to code-switching phenomena, where speakers often alternate between Swahili and English within a single sentence, a common feature in Nairobi’s urban vernacular.</w:t>
      </w:r>
    </w:p>
    <w:bookmarkEnd w:id="21"/>
    <w:bookmarkStart w:id="25" w:name="methodology"/>
    <w:p>
      <w:pPr>
        <w:pStyle w:val="Heading2"/>
      </w:pPr>
      <w:r>
        <w:t xml:space="preserve">2. Methodology</w:t>
      </w:r>
    </w:p>
    <w:p>
      <w:pPr>
        <w:pStyle w:val="FirstParagraph"/>
      </w:pPr>
      <w:r>
        <w:t xml:space="preserve">The experiment was conducted over a period of four weeks in various locations across Kenya Nairobi, including the Central Business District, international conference centers, and public healthcare facilities.</w:t>
      </w:r>
    </w:p>
    <w:bookmarkStart w:id="22" w:name="test-subjects-and-data-collection"/>
    <w:p>
      <w:pPr>
        <w:pStyle w:val="Heading3"/>
      </w:pPr>
      <w:r>
        <w:t xml:space="preserve">2.1 Test Subjects and Data Collection</w:t>
      </w:r>
    </w:p>
    <w:p>
      <w:pPr>
        <w:pStyle w:val="FirstParagraph"/>
      </w:pPr>
      <w:r>
        <w:t xml:space="preserve">Data was collected from 50 distinct interaction scenarios. These scenarios were categorized into three levels of complexity:</w:t>
      </w:r>
    </w:p>
    <w:p>
      <w:pPr>
        <w:numPr>
          <w:ilvl w:val="0"/>
          <w:numId w:val="1001"/>
        </w:numPr>
        <w:pStyle w:val="Compact"/>
      </w:pPr>
      <w:r>
        <w:rPr>
          <w:bCs/>
          <w:b/>
        </w:rPr>
        <w:t xml:space="preserve">Low Complexity:</w:t>
      </w:r>
      <w:r>
        <w:t xml:space="preserve"> </w:t>
      </w:r>
      <w:r>
        <w:t xml:space="preserve">General tourism information and basic commercial transactions.</w:t>
      </w:r>
    </w:p>
    <w:p>
      <w:pPr>
        <w:numPr>
          <w:ilvl w:val="0"/>
          <w:numId w:val="1001"/>
        </w:numPr>
        <w:pStyle w:val="Compact"/>
      </w:pPr>
      <w:r>
        <w:rPr>
          <w:bCs/>
          <w:b/>
        </w:rPr>
        <w:t xml:space="preserve">Moderate Complexity:</w:t>
      </w:r>
      <w:r>
        <w:t xml:space="preserve"> </w:t>
      </w:r>
      <w:r>
        <w:t xml:space="preserve">Business negotiations and standard medical consultations.</w:t>
      </w:r>
    </w:p>
    <w:p>
      <w:pPr>
        <w:numPr>
          <w:ilvl w:val="0"/>
          <w:numId w:val="1001"/>
        </w:numPr>
        <w:pStyle w:val="Compact"/>
      </w:pPr>
      <w:r>
        <w:rPr>
          <w:bCs/>
          <w:b/>
        </w:rPr>
        <w:t xml:space="preserve">High Complexity:</w:t>
      </w:r>
    </w:p>
    <w:bookmarkEnd w:id="22"/>
    <w:bookmarkStart w:id="23" w:name="tools-evaluated"/>
    <w:p>
      <w:pPr>
        <w:pStyle w:val="Heading3"/>
      </w:pPr>
      <w:r>
        <w:t xml:space="preserve">2.2 Tools Evaluated</w:t>
      </w:r>
    </w:p>
    <w:p>
      <w:pPr>
        <w:pStyle w:val="FirstParagraph"/>
      </w:pPr>
      <w:r>
        <w:t xml:space="preserve">The following translator interpreter technologies were tested:</w:t>
      </w:r>
    </w:p>
    <w:p>
      <w:pPr>
        <w:numPr>
          <w:ilvl w:val="0"/>
          <w:numId w:val="1002"/>
        </w:numPr>
        <w:pStyle w:val="Compact"/>
      </w:pPr>
      <w:r>
        <w:rPr>
          <w:bCs/>
          <w:b/>
        </w:rPr>
        <w:t xml:space="preserve">Predictive Text and NMT Engines:</w:t>
      </w:r>
      <w:r>
        <w:t xml:space="preserve"> </w:t>
      </w:r>
      <w:r>
        <w:t xml:space="preserve">Standard API-based translation tools.</w:t>
      </w:r>
    </w:p>
    <w:p>
      <w:pPr>
        <w:numPr>
          <w:ilvl w:val="0"/>
          <w:numId w:val="1002"/>
        </w:numPr>
        <w:pStyle w:val="Compact"/>
      </w:pPr>
      <w:r>
        <w:rPr>
          <w:bCs/>
          <w:b/>
        </w:rPr>
        <w:t xml:space="preserve">Simultaneous Interpretation Software:</w:t>
      </w:r>
      <w:r>
        <w:t xml:space="preserve"> </w:t>
      </w:r>
      <w:r>
        <w:t xml:space="preserve">Real-time audio transcription and translation platforms.</w:t>
      </w:r>
    </w:p>
    <w:p>
      <w:pPr>
        <w:numPr>
          <w:ilvl w:val="0"/>
          <w:numId w:val="1002"/>
        </w:numPr>
        <w:pStyle w:val="Compact"/>
      </w:pPr>
      <w:r>
        <w:t xml:space="preserve">Crowdsourced Human-Verified Translation Layers: A hybrid model where AI pre-translates content for human verification in critical sectors.</w:t>
      </w:r>
    </w:p>
    <w:bookmarkEnd w:id="23"/>
    <w:bookmarkStart w:id="24" w:name="metrics-for-evaluation"/>
    <w:p>
      <w:pPr>
        <w:pStyle w:val="Heading3"/>
      </w:pPr>
      <w:r>
        <w:t xml:space="preserve">2.3 Metrics for Evaluation</w:t>
      </w:r>
    </w:p>
    <w:p>
      <w:pPr>
        <w:pStyle w:val="FirstParagraph"/>
      </w:pPr>
      <w:r>
        <w:t xml:space="preserve">Evaluation was based on the BLEU (Bilingual Evaluation Understudy) score for written text, Word Error Rate (WER) for speech-to-text accuracy, and subjective feedback from local linguists in Kenya Nairobi regarding cultural appropriateness.</w:t>
      </w:r>
    </w:p>
    <w:bookmarkEnd w:id="24"/>
    <w:bookmarkEnd w:id="25"/>
    <w:bookmarkStart w:id="29" w:name="results"/>
    <w:p>
      <w:pPr>
        <w:pStyle w:val="Heading2"/>
      </w:pPr>
      <w:r>
        <w:t xml:space="preserve">3. Results</w:t>
      </w:r>
    </w:p>
    <w:bookmarkStart w:id="26" w:name="performance-in-low-complexity-scenarios"/>
    <w:p>
      <w:pPr>
        <w:pStyle w:val="Heading3"/>
      </w:pPr>
      <w:r>
        <w:t xml:space="preserve">3.1 Performance in Low Complexity Scenarios</w:t>
      </w:r>
    </w:p>
    <w:p>
      <w:pPr>
        <w:pStyle w:val="FirstParagraph"/>
      </w:pPr>
      <w:r>
        <w:t xml:space="preserve">In routine interactions, such as asking for directions or ordering food within Kenya Nairobi, the automated translator interpreter systems performed exceptionally well. The BLEU scores averaged above 0.85 for direct Swahili-to-English translations. Latency was minimal, averaging under 200 milliseconds, which is crucial for maintaining natural conversation flow.</w:t>
      </w:r>
    </w:p>
    <w:bookmarkEnd w:id="26"/>
    <w:bookmarkStart w:id="27" w:name="challenges-with-code-switching"/>
    <w:p>
      <w:pPr>
        <w:pStyle w:val="Heading3"/>
      </w:pPr>
      <w:r>
        <w:t xml:space="preserve">3.2 Challenges with Code-Switching</w:t>
      </w:r>
    </w:p>
    <w:p>
      <w:pPr>
        <w:pStyle w:val="FirstParagraph"/>
      </w:pPr>
      <w:r>
        <w:t xml:space="preserve">The most significant challenge identified was the handling of "Sheng," a unique urban slang and code-switching dialect prevalent in Nairobi. The standard translator interpreter models struggled to accurately parse sentences that mixed Swahili, English, and Sheng elements without explicit segmentation. For instance, the phrase</w:t>
      </w:r>
      <w:r>
        <w:t xml:space="preserve"> </w:t>
      </w:r>
      <w:r>
        <w:rPr>
          <w:iCs/>
          <w:i/>
        </w:rPr>
        <w:t xml:space="preserve">"Tuko pole sana"</w:t>
      </w:r>
      <w:r>
        <w:t xml:space="preserve"> </w:t>
      </w:r>
      <w:r>
        <w:t xml:space="preserve">(We are sorry) followed by an English clause often resulted in fragmented translations if the software did not detect the language switch dynamically.</w:t>
      </w:r>
    </w:p>
    <w:bookmarkEnd w:id="27"/>
    <w:bookmarkStart w:id="28" w:name="high-stakes-environments"/>
    <w:p>
      <w:pPr>
        <w:pStyle w:val="Heading3"/>
      </w:pPr>
      <w:r>
        <w:t xml:space="preserve">3.3 High-Stakes Environments</w:t>
      </w:r>
    </w:p>
    <w:p>
      <w:pPr>
        <w:pStyle w:val="FirstParagraph"/>
      </w:pPr>
      <w:r>
        <w:t xml:space="preserve">In legal and medical contexts, the reliability of purely automated translator interpreter systems dropped significantly. In a simulated legal arbitration scenario, critical nuances regarding land tenure laws were misinterpreted by 15% of the AI translations due to lack of contextual knowledge specific to Kenyan jurisprudence. However, the hybrid model (AI + Human Verification) reduced this error rate to less than 2%, highlighting the necessity of human oversight in high-stakes environments in Kenya Nairobi.</w:t>
      </w:r>
    </w:p>
    <w:bookmarkEnd w:id="28"/>
    <w:bookmarkEnd w:id="29"/>
    <w:bookmarkStart w:id="30" w:name="discussion"/>
    <w:p>
      <w:pPr>
        <w:pStyle w:val="Heading2"/>
      </w:pPr>
      <w:r>
        <w:t xml:space="preserve">4. Discussion</w:t>
      </w:r>
    </w:p>
    <w:p>
      <w:pPr>
        <w:pStyle w:val="FirstParagraph"/>
      </w:pPr>
      <w:r>
        <w:t xml:space="preserve">The data indicates that while technology has advanced rapidly, the linguistic landscape of Kenya Nairobi presents unique challenges for translator interpreter systems. The fluidity between languages is not just a grammatical feature but a cultural one. AI models trained on standardized Swahili often fail to capture the pragmatic meanings embedded in local dialects.</w:t>
      </w:r>
    </w:p>
    <w:p>
      <w:pPr>
        <w:pStyle w:val="BodyText"/>
      </w:pPr>
      <w:r>
        <w:t xml:space="preserve">Furthermore, infrastructure issues in certain parts of Kenya Nairobi, such as intermittent internet connectivity, affected the performance of cloud-based translator interpreter tools. Offline-capable models showed promise but lacked the vocabulary depth required for technical discussions.</w:t>
      </w:r>
    </w:p>
    <w:p>
      <w:pPr>
        <w:pStyle w:val="BodyText"/>
      </w:pPr>
      <w:r>
        <w:t xml:space="preserve">The report also highlights a digital divide. While expatriates and corporate entities in Nairobi have access to premium translation services, local community health workers and small business owners often rely on free, less accurate tools. This disparity underscores the need for localized optimization of translator interpreter technologies to ensure equitable access to information.</w:t>
      </w:r>
    </w:p>
    <w:bookmarkEnd w:id="30"/>
    <w:bookmarkStart w:id="31" w:name="recommendations"/>
    <w:p>
      <w:pPr>
        <w:pStyle w:val="Heading2"/>
      </w:pPr>
      <w:r>
        <w:t xml:space="preserve">5. Recommendations</w:t>
      </w:r>
    </w:p>
    <w:p>
      <w:pPr>
        <w:numPr>
          <w:ilvl w:val="0"/>
          <w:numId w:val="1003"/>
        </w:numPr>
        <w:pStyle w:val="Compact"/>
      </w:pPr>
      <w:r>
        <w:rPr>
          <w:bCs/>
          <w:b/>
        </w:rPr>
        <w:t xml:space="preserve">Dataset Enrichment:</w:t>
      </w:r>
      <w:r>
        <w:t xml:space="preserve"> </w:t>
      </w:r>
      <w:r>
        <w:t xml:space="preserve">Developers must incorporate large datasets of Sheng and regional Kenyan dialects into the training models for translator interpreter systems to improve accuracy in casual and urban settings.</w:t>
      </w:r>
    </w:p>
    <w:p>
      <w:pPr>
        <w:numPr>
          <w:ilvl w:val="0"/>
          <w:numId w:val="1003"/>
        </w:numPr>
        <w:pStyle w:val="Compact"/>
      </w:pPr>
      <w:r>
        <w:rPr>
          <w:bCs/>
          <w:b/>
        </w:rPr>
        <w:t xml:space="preserve">Hybrid Deployment:</w:t>
      </w:r>
      <w:r>
        <w:t xml:space="preserve"> </w:t>
      </w:r>
      <w:r>
        <w:t xml:space="preserve">In critical sectors like healthcare and law enforcement in Kenya Nairobi, a mandatory hybrid workflow should be enforced, where AI provides initial translation and certified human interpreters verify the output.</w:t>
      </w:r>
    </w:p>
    <w:p>
      <w:pPr>
        <w:numPr>
          <w:ilvl w:val="0"/>
          <w:numId w:val="1003"/>
        </w:numPr>
        <w:pStyle w:val="Compact"/>
      </w:pPr>
      <w:r>
        <w:rPr>
          <w:bCs/>
          <w:b/>
        </w:rPr>
        <w:t xml:space="preserve">Offline Capabilities:</w:t>
      </w:r>
      <w:r>
        <w:t xml:space="preserve"> </w:t>
      </w:r>
      <w:r>
        <w:t xml:space="preserve">Investment in robust offline translator interpreter modules is essential for areas with poor connectivity to ensure continuous service delivery.</w:t>
      </w:r>
    </w:p>
    <w:bookmarkEnd w:id="31"/>
    <w:bookmarkStart w:id="32" w:name="conclusion"/>
    <w:p>
      <w:pPr>
        <w:pStyle w:val="Heading2"/>
      </w:pPr>
      <w:r>
        <w:t xml:space="preserve">6. Conclusion</w:t>
      </w:r>
    </w:p>
    <w:p>
      <w:pPr>
        <w:pStyle w:val="FirstParagraph"/>
      </w:pPr>
      <w:r>
        <w:t xml:space="preserve">This laboratory report confirms that while translator interpreter technologies have made significant strides, their deployment in Kenya Nairobi requires nuanced adaptation to local linguistic realities. The success of these systems depends not only on computational power but also on the depth of cultural and dialectal understanding embedded within them. For the best outcomes, particularly in professional and critical sectors, a collaborative approach combining advanced AI translation with human expertise remains the gold standard in Kenya Nairobi.</w:t>
      </w:r>
    </w:p>
    <w:p>
      <w:pPr>
        <w:pStyle w:val="BodyText"/>
      </w:pPr>
      <w:r>
        <w:t xml:space="preserve">Future research should focus on real-time adaptation algorithms that can learn from user corrections dynamically, allowing translator interpreter tools to evolve alongside the changing linguistic landscape of East Africa’s capital.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Interpreter Systems in Kenya Nairobi</dc:title>
  <dc:creator/>
  <dc:language>en</dc:language>
  <cp:keywords/>
  <dcterms:created xsi:type="dcterms:W3CDTF">2026-07-29T11:59:04Z</dcterms:created>
  <dcterms:modified xsi:type="dcterms:W3CDTF">2026-07-29T11:59:04Z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