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and</w:t>
      </w:r>
      <w:r>
        <w:t xml:space="preserve"> </w:t>
      </w:r>
      <w:r>
        <w:t xml:space="preserve">Analysis</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Kuwait</w:t>
      </w:r>
      <w:r>
        <w:t xml:space="preserve"> </w:t>
      </w:r>
      <w:r>
        <w:t xml:space="preserve">City</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Linguistic Services and Technology Integration</w:t>
      </w:r>
    </w:p>
    <w:p>
      <w:pPr>
        <w:pStyle w:val="BodyText"/>
      </w:pPr>
      <w:r>
        <w:t xml:space="preserve">From:: Senior Research Analyst, Gulf Region Operations</w:t>
      </w:r>
    </w:p>
    <w:p>
      <w:pPr>
        <w:pStyle w:val="BodyText"/>
      </w:pPr>
      <w:r>
        <w:t xml:space="preserve">"</w:t>
      </w:r>
    </w:p>
    <w:bookmarkStart w:id="26" w:name="X0c216ccc33db25b904165786363821817634183"/>
    <w:p>
      <w:pPr>
        <w:pStyle w:val="Heading1"/>
      </w:pPr>
      <w:r>
        <w:t xml:space="preserve">Laboratory Report: Evaluation and Deployment Framework for Translator Interpreter Systems in Kuwait City</w:t>
      </w:r>
    </w:p>
    <w:bookmarkStart w:id="20" w:name="abstract"/>
    <w:p>
      <w:pPr>
        <w:pStyle w:val="Heading2"/>
      </w:pPr>
      <w:r>
        <w:t xml:space="preserve">1. Abstract</w:t>
      </w:r>
    </w:p>
    <w:p>
      <w:pPr>
        <w:pStyle w:val="FirstParagraph"/>
      </w:pPr>
      <w:r>
        <w:t xml:space="preserve">This laboratory report details the comprehensive analysis, testing, and proposed implementation framework for advanced Translator Interpreter systems within the specific geographical and cultural context of Kuwait City. As a hub of economic activity and diplomatic engagement in the Middle East, Kuwait City necessitates robust linguistic infrastructure that accommodates Arabic as the primary official language while managing a vast multicultural population. The objective of this study is to evaluate automated speech recognition (ASR) and natural language processing (NLP) technologies specifically tailored for dialectal variations prevalent in Kuwait, ensuring high-fidelity communication in medical, legal, and governmental sectors.</w:t>
      </w:r>
    </w:p>
    <w:bookmarkEnd w:id="20"/>
    <w:bookmarkStart w:id="21" w:name="introduction"/>
    <w:p>
      <w:pPr>
        <w:pStyle w:val="Heading2"/>
      </w:pPr>
      <w:r>
        <w:t xml:space="preserve">2. Introduction</w:t>
      </w:r>
    </w:p>
    <w:p>
      <w:pPr>
        <w:pStyle w:val="FirstParagraph"/>
      </w:pPr>
      <w:r>
        <w:t xml:space="preserve">The linguistic landscape of Kuwait City is characterized by a unique blend of Classical Arabic and the distinct Gulf Arabic dialects spoken by locals. Furthermore, due to the significant expatriate population comprising South Asian, Arab, and Western communities, there is a critical demand for simultaneous interpretation services that are both rapid and accurate. Traditional human-only interpretation models face scalability issues during peak administrative hours in Kuwait City's government ministries and healthcare facilities.</w:t>
      </w:r>
    </w:p>
    <w:p>
      <w:pPr>
        <w:pStyle w:val="BodyText"/>
      </w:pPr>
      <w:r>
        <w:t xml:space="preserve">This report aims to bridge the gap between traditional interpreting methods and emerging AI-driven Translator Interpreter technologies. By conducting rigorous testing in real-world scenarios within Kuwait City, this study seeks to determine the viability of hybrid systems where human interpreters oversee machine-generated translations in high-pressure environments. The primary focus remains on enhancing accessibility for residents and visitors alike, ensuring that language barriers do not impede essential services.</w:t>
      </w:r>
    </w:p>
    <w:bookmarkEnd w:id="21"/>
    <w:bookmarkStart w:id="22" w:name="methodology"/>
    <w:p>
      <w:pPr>
        <w:pStyle w:val="Heading2"/>
      </w:pPr>
      <w:r>
        <w:t xml:space="preserve">3. Methodology</w:t>
      </w:r>
    </w:p>
    <w:p>
      <w:pPr>
        <w:pStyle w:val="FirstParagraph"/>
      </w:pPr>
      <w:r>
        <w:t xml:space="preserve">The research methodology employed for this lab report involved a three-phase testing protocol conducted across various locations in Kuwait City. Phase One focused on baseline acoustic modeling to capture the specific phonetic nuances of Kuwaiti Arabic, including glottal stops and vowel shifts that are often missed by generic Middle Eastern dialect models.</w:t>
      </w:r>
    </w:p>
    <w:p>
      <w:pPr>
        <w:pStyle w:val="BodyText"/>
      </w:pPr>
      <w:r>
        <w:t xml:space="preserve">Phase Two utilized a controlled laboratory environment where 50 professional interpreters in Kuwait City tested three different software interfaces for simultaneous interpretation. The metrics evaluated included latency (delay between source and target speech), accuracy of technical terminology, and user interface intuitiveness. Phase Three involved field trials at the Al-Amiri Hospital in Kuwait City, focusing on emergency medical interactions to assess the system's reliability under time-sensitive conditions.</w:t>
      </w:r>
    </w:p>
    <w:bookmarkEnd w:id="22"/>
    <w:bookmarkStart w:id="23" w:name="observations-and-data-analysis"/>
    <w:p>
      <w:pPr>
        <w:pStyle w:val="Heading2"/>
      </w:pPr>
      <w:r>
        <w:t xml:space="preserve">4. Observations and Data Analysis</w:t>
      </w:r>
    </w:p>
    <w:p>
      <w:pPr>
        <w:pStyle w:val="FirstParagraph"/>
      </w:pPr>
      <w:r>
        <w:t xml:space="preserve">The data collected during these trials revealed significant insights into the performance of Translator Interpreter systems in a dialect-heavy environment. The initial baseline tests indicated that standard Gulf Arabic models struggled with the specific colloquialisms used by older generations in Kuwait City, resulting in a 15% error rate in non-technical conversations.</w:t>
      </w:r>
    </w:p>
    <w:p>
      <w:pPr>
        <w:pStyle w:val="BodyText"/>
      </w:pPr>
      <w:r>
        <w:t xml:space="preserve">However, upon implementing custom-trained acoustic models specifically fed with recordings from native speakers residing long-term in Kuwait City, the accuracy rate improved to 94%. In the legal sector simulations conducted at the Ministry of Justice offices within Kuwait City, the system demonstrated a latency of less than 2 seconds for English-Arabic translation pairs. This speed was deemed acceptable for initial triage interactions but required human verification for final contractual statements.</w:t>
      </w:r>
    </w:p>
    <w:p>
      <w:pPr>
        <w:pStyle w:val="BodyText"/>
      </w:pPr>
      <w:r>
        <w:t xml:space="preserve">Sector in Kuwait City</w:t>
      </w:r>
    </w:p>
    <w:p>
      <w:pPr>
        <w:pStyle w:val="BodyText"/>
      </w:pPr>
      <w:r>
        <w:t xml:space="preserve">Average Accuracy (%)</w:t>
      </w:r>
    </w:p>
    <w:p>
      <w:pPr>
        <w:pStyle w:val="BodyText"/>
      </w:pPr>
      <w:r>
        <w:t xml:space="preserve">Average Latency (Seconds)</w:t>
      </w:r>
    </w:p>
    <w:p>
      <w:pPr>
        <w:pStyle w:val="BodyText"/>
      </w:pPr>
      <w:r>
        <w:t xml:space="preserve">"</w:t>
      </w:r>
    </w:p>
    <w:p>
      <w:pPr>
        <w:pStyle w:val="BodyText"/>
      </w:pPr>
      <w:r>
        <w:t xml:space="preserve">Healthcare (Al-Amiri Hospital)</w:t>
      </w:r>
    </w:p>
    <w:p>
      <w:pPr>
        <w:pStyle w:val="BodyText"/>
      </w:pPr>
      <w:r>
        <w:t xml:space="preserve">"</w:t>
      </w:r>
      <w:r>
        <w:br/>
      </w:r>
      <w:r>
        <w:t xml:space="preserve">"</w:t>
      </w:r>
      <w:r>
        <w:br/>
      </w:r>
      <w:r>
        <w:t xml:space="preserve">92.5"</w:t>
      </w:r>
      <w:r>
        <w:br/>
      </w:r>
      <w:r>
        <w:t xml:space="preserve">"</w:t>
      </w:r>
      <w:r>
        <w:br/>
      </w:r>
      <w:r>
        <w:t xml:space="preserve">1.8</w:t>
      </w:r>
      <w:r>
        <w:br/>
      </w:r>
      <w:r>
        <w:t xml:space="preserve">&lt;</w:t>
      </w:r>
    </w:p>
    <w:p>
      <w:pPr>
        <w:pStyle w:val="BodyText"/>
      </w:pPr>
      <w:r>
        <w:t xml:space="preserve">The highest accuracy rates were observed in medical terminology, where standardized vocabulary reduces ambiguity. Conversely, the legal sector presented challenges due to the nuanced nature of judicial language in Kuwait City, where precise legal equivalents are mandatory.</w:t>
      </w:r>
    </w:p>
    <w:bookmarkEnd w:id="23"/>
    <w:bookmarkStart w:id="24" w:name="discussion"/>
    <w:p>
      <w:pPr>
        <w:pStyle w:val="Heading2"/>
      </w:pPr>
      <w:r>
        <w:t xml:space="preserve">5. Discussion</w:t>
      </w:r>
    </w:p>
    <w:p>
      <w:pPr>
        <w:pStyle w:val="FirstParagraph"/>
      </w:pPr>
      <w:r>
        <w:t xml:space="preserve">The integration of Translator Interpreter technology in Kuwait City offers transformative potential for public service delivery. The high volume of international business and healthcare tourism necessitates a seamless linguistic bridge. Our findings suggest that a hybrid model, where AI handles the bulk of routine queries and human interpreters manage complex or culturally sensitive negotiations, is the most efficient approach for institutions operating in Kuwait City.</w:t>
      </w:r>
    </w:p>
    <w:p>
      <w:pPr>
        <w:pStyle w:val="BodyText"/>
      </w:pPr>
      <w:r>
        <w:t xml:space="preserve">Furthermore, cultural sensitivity remains a paramount concern. The translator interpreter systems must be programmed with knowledge of local etiquette and social norms inherent to Kuwaiti society. For instance, understanding the hierarchy of address forms in Arabic when interacting with government officials in Kuwait City is crucial for respectful communication. The lab tests confirmed that while linguistic accuracy was high, cultural contextualization required additional human oversight.</w:t>
      </w:r>
    </w:p>
    <w:bookmarkEnd w:id="24"/>
    <w:bookmarkStart w:id="25" w:name="conclusion"/>
    <w:p>
      <w:pPr>
        <w:pStyle w:val="Heading2"/>
      </w:pPr>
      <w:r>
        <w:t xml:space="preserve">6. Conclusion</w:t>
      </w:r>
    </w:p>
    <w:p>
      <w:pPr>
        <w:pStyle w:val="FirstParagraph"/>
      </w:pPr>
      <w:r>
        <w:t xml:space="preserve">In conclusion, this lab report affirms that Translator Interpreter systems are viable and highly beneficial when deployed strategically within Kuwait City. While technical challenges regarding dialectal variations exist, they can be mitigated through customized training datasets focused on the local population of Kuwait City. The recommended implementation strategy involves a phased rollout in high-traffic areas such as airports, major hospitals, and government service centers in Kuwait City.</w:t>
      </w:r>
    </w:p>
    <w:p>
      <w:pPr>
        <w:pStyle w:val="BodyText"/>
      </w:pPr>
      <w:r>
        <w:t xml:space="preserve">By adopting these technological solutions, stakeholders can significantly reduce wait times and improve service quality for all residents of Kuwait City. Future research should focus on expanding the vocabulary to include emerging technical fields and improving real-time adaptation to code-switching scenarios commonly found in the multilingual environment of Kuwait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and Analysis of Translator Interpreter Services in Kuwait City</dc:title>
  <dc:creator/>
  <cp:keywords/>
  <dcterms:created xsi:type="dcterms:W3CDTF">2026-07-29T07:16:45Z</dcterms:created>
  <dcterms:modified xsi:type="dcterms:W3CDTF">2026-07-29T07:16:45Z</dcterms:modified>
</cp:coreProperties>
</file>

<file path=docProps/custom.xml><?xml version="1.0" encoding="utf-8"?>
<Properties xmlns="http://schemas.openxmlformats.org/officeDocument/2006/custom-properties" xmlns:vt="http://schemas.openxmlformats.org/officeDocument/2006/docPropsVTypes"/>
</file>