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Linguistic</w:t>
      </w:r>
      <w:r>
        <w:t xml:space="preserve"> </w:t>
      </w:r>
      <w:r>
        <w:t xml:space="preserve">Adaptation</w:t>
      </w:r>
      <w:r>
        <w:t xml:space="preserve"> </w:t>
      </w:r>
      <w:r>
        <w:t xml:space="preserve">and</w:t>
      </w:r>
      <w:r>
        <w:t xml:space="preserve"> </w:t>
      </w:r>
      <w:r>
        <w:t xml:space="preserve">Implementation</w:t>
      </w:r>
      <w:r>
        <w:t xml:space="preserve"> </w:t>
      </w:r>
      <w:r>
        <w:t xml:space="preserve">of</w:t>
      </w:r>
      <w:r>
        <w:t xml:space="preserve"> </w:t>
      </w:r>
      <w:r>
        <w:t xml:space="preserve">Translator</w:t>
      </w:r>
      <w:r>
        <w:t xml:space="preserve"> </w:t>
      </w:r>
      <w:r>
        <w:t xml:space="preserve">Interpreter</w:t>
      </w:r>
      <w:r>
        <w:t xml:space="preserve"> </w:t>
      </w:r>
      <w:r>
        <w:t xml:space="preserve">Systems</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1b09876076479a2295c125bb397bc689aaad5be"/>
    <w:p>
      <w:pPr>
        <w:pStyle w:val="Heading1"/>
      </w:pPr>
      <w:r>
        <w:t xml:space="preserve">Laboratory Report: Evaluation of Translator Interpreter Systems in a Regional Context</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Riyadh, Saudi Arabia</w:t>
      </w:r>
    </w:p>
    <w:p>
      <w:pPr>
        <w:pStyle w:val="BodyText"/>
      </w:pPr>
      <w:r>
        <w:rPr>
          <w:bCs/>
          <w:b/>
        </w:rPr>
        <w:t xml:space="preserve">Purpose:</w:t>
      </w:r>
      <w:r>
        <w:t xml:space="preserve">To assess the efficacy, accuracy, and cultural integration of automated Translator Interpreter technologies within the specific socio-linguistic environment of Saudi Arabia Riyadh.</w:t>
      </w:r>
    </w:p>
    <w:bookmarkEnd w:id="20"/>
    <w:bookmarkStart w:id="21" w:name="executive-summary"/>
    <w:p>
      <w:pPr>
        <w:pStyle w:val="Heading2"/>
      </w:pPr>
      <w:r>
        <w:t xml:space="preserve">1.0 Executive Summary</w:t>
      </w:r>
    </w:p>
    <w:p>
      <w:pPr>
        <w:pStyle w:val="FirstParagraph"/>
      </w:pPr>
      <w:r>
        <w:t xml:space="preserve">The rapid modernization of Saudi Arabia Riyadh has necessitated a robust infrastructure for linguistic mediation. As the capital city undergoes transformative changes under Vision 2030, the demand for efficient communication between Arabic-speaking locals and an increasingly international demographic has surged. This lab report details a comprehensive evaluation of various Translator Interpreter tools deployed in controlled environments within Riyadh. The study aimed to determine how well these systems handle code-switching, formal Saudi dialects (Najdi), and technical terminology common in business and healthcare sectors.</w:t>
      </w:r>
    </w:p>
    <w:bookmarkEnd w:id="21"/>
    <w:bookmarkStart w:id="22" w:name="introduction"/>
    <w:p>
      <w:pPr>
        <w:pStyle w:val="Heading2"/>
      </w:pPr>
      <w:r>
        <w:t xml:space="preserve">2.0 Introduction</w:t>
      </w:r>
    </w:p>
    <w:p>
      <w:pPr>
        <w:pStyle w:val="FirstParagraph"/>
      </w:pPr>
      <w:r>
        <w:t xml:space="preserve">In the context of Saudi Arabia Riyadh, language is not merely a tool for communication but a cornerstone of cultural identity and social etiquette. The primary language, Arabic, possesses significant diglossia, characterized by the divide between Modern Standard Arabic (MSA) used in formal writing and media, and various dialects used in daily conversation. In Riyadh specifically, the local Najdi dialect is prevalent. Previous iterations of global Translator Interpreter platforms often failed to accurately capture these nuances or misinterpreted polite forms of address inherent to Arab culture.</w:t>
      </w:r>
    </w:p>
    <w:p>
      <w:pPr>
        <w:pStyle w:val="BodyText"/>
      </w:pPr>
      <w:r>
        <w:t xml:space="preserve">This laboratory experiment sought to bridge that gap by testing next-generation neural machine translation models tailored for the Saudi Arabian context. The objective was to quantify the error rates, latency, and user satisfaction levels when deploying a specialized Translator Interpreter system in real-world scenarios across Riyadh’s commercial and administrative districts.</w:t>
      </w:r>
    </w:p>
    <w:bookmarkEnd w:id="22"/>
    <w:bookmarkStart w:id="26" w:name="methodology"/>
    <w:p>
      <w:pPr>
        <w:pStyle w:val="Heading2"/>
      </w:pPr>
      <w:r>
        <w:t xml:space="preserve">3.0 Methodology</w:t>
      </w:r>
    </w:p>
    <w:p>
      <w:pPr>
        <w:pStyle w:val="FirstParagraph"/>
      </w:pPr>
      <w:r>
        <w:t xml:space="preserve">The evaluation was conducted over a period of four weeks in Riyadh. We employed a mixed-methods approach combining quantitative data analysis with qualitative user feedback.</w:t>
      </w:r>
    </w:p>
    <w:bookmarkStart w:id="23" w:name="participants"/>
    <w:p>
      <w:pPr>
        <w:pStyle w:val="Heading3"/>
      </w:pPr>
      <w:r>
        <w:t xml:space="preserve">3.1 Participants</w:t>
      </w:r>
    </w:p>
    <w:p>
      <w:pPr>
        <w:numPr>
          <w:ilvl w:val="0"/>
          <w:numId w:val="1001"/>
        </w:numPr>
        <w:pStyle w:val="Compact"/>
      </w:pPr>
      <w:r>
        <w:rPr>
          <w:bCs/>
          <w:b/>
        </w:rPr>
        <w:t xml:space="preserve">Linguists:</w:t>
      </w:r>
      <w:r>
        <w:t xml:space="preserve"> </w:t>
      </w:r>
      <w:r>
        <w:t xml:space="preserve">Three native Saudi Arabic speakers fluent in English, serving as ground-truth evaluators.</w:t>
      </w:r>
    </w:p>
    <w:p>
      <w:pPr>
        <w:numPr>
          <w:ilvl w:val="0"/>
          <w:numId w:val="1001"/>
        </w:numPr>
        <w:pStyle w:val="Compact"/>
      </w:pPr>
      <w:r>
        <w:rPr>
          <w:bCs/>
          <w:b/>
        </w:rPr>
        <w:t xml:space="preserve">Tech Users:</w:t>
      </w:r>
    </w:p>
    <w:bookmarkEnd w:id="23"/>
    <w:bookmarkStart w:id="24" w:name="instrumentation"/>
    <w:p>
      <w:pPr>
        <w:pStyle w:val="Heading3"/>
      </w:pPr>
      <w:r>
        <w:t xml:space="preserve">3.2 Instrumentation</w:t>
      </w:r>
    </w:p>
    <w:p>
      <w:pPr>
        <w:pStyle w:val="FirstParagraph"/>
      </w:pPr>
      <w:r>
        <w:t xml:space="preserve">We tested three distinct versions of a Translator Interpreter application:</w:t>
      </w:r>
    </w:p>
    <w:p>
      <w:pPr>
        <w:numPr>
          <w:ilvl w:val="0"/>
          <w:numId w:val="1002"/>
        </w:numPr>
        <w:pStyle w:val="Compact"/>
      </w:pPr>
      <w:r>
        <w:rPr>
          <w:bCs/>
          <w:b/>
        </w:rPr>
        <w:t xml:space="preserve">V1 (Global Standard):</w:t>
      </w:r>
      <w:r>
        <w:t xml:space="preserve">A widely used international translation engine without regional customization.</w:t>
      </w:r>
    </w:p>
    <w:p>
      <w:pPr>
        <w:numPr>
          <w:ilvl w:val="0"/>
          <w:numId w:val="1002"/>
        </w:numPr>
        <w:pStyle w:val="Compact"/>
      </w:pPr>
      <w:r>
        <w:rPr>
          <w:bCs/>
          <w:b/>
        </w:rPr>
        <w:t xml:space="preserve">V2 (Arabica-Centric):</w:t>
      </w:r>
      <w:r>
        <w:t xml:space="preserve">An engine optimized for Modern Standard Arabic but lacking dialectal depth.</w:t>
      </w:r>
    </w:p>
    <w:p>
      <w:pPr>
        <w:numPr>
          <w:ilvl w:val="0"/>
          <w:numId w:val="1002"/>
        </w:numPr>
        <w:pStyle w:val="Compact"/>
      </w:pPr>
      <w:r>
        <w:rPr>
          <w:bCs/>
          <w:b/>
        </w:rPr>
        <w:t xml:space="preserve">V3 (Riyadh-Adapted):</w:t>
      </w:r>
      <w:r>
        <w:t xml:space="preserve"> </w:t>
      </w:r>
      <w:r>
        <w:t xml:space="preserve">A specialized model trained on datasets specific to Saudi Arabia, incorporating Najdi idioms and regional business terminology.</w:t>
      </w:r>
    </w:p>
    <w:bookmarkEnd w:id="24"/>
    <w:bookmarkStart w:id="25" w:name="procedure"/>
    <w:p>
      <w:pPr>
        <w:pStyle w:val="Heading3"/>
      </w:pPr>
      <w:r>
        <w:t xml:space="preserve">3.3 Procedure</w:t>
      </w:r>
    </w:p>
    <w:p>
      <w:pPr>
        <w:pStyle w:val="FirstParagraph"/>
      </w:pPr>
      <w:r>
        <w:t xml:space="preserve">The participants were placed in simulated scenarios representative of daily life in Riyadh. These included:</w:t>
      </w:r>
    </w:p>
    <w:p>
      <w:pPr>
        <w:numPr>
          <w:ilvl w:val="0"/>
          <w:numId w:val="1003"/>
        </w:numPr>
        <w:pStyle w:val="Compact"/>
      </w:pPr>
      <w:r>
        <w:rPr>
          <w:bCs/>
          <w:b/>
        </w:rPr>
        <w:t xml:space="preserve">Negotiation Meetings:</w:t>
      </w:r>
      <w:r>
        <w:t xml:space="preserve">B2B discussions requiring precise business terminology.</w:t>
      </w:r>
    </w:p>
    <w:p>
      <w:pPr>
        <w:numPr>
          <w:ilvl w:val="0"/>
          <w:numId w:val="1003"/>
        </w:numPr>
        <w:pStyle w:val="Compact"/>
      </w:pPr>
      <w:r>
        <w:rPr>
          <w:bCs/>
          <w:b/>
        </w:rPr>
        <w:t xml:space="preserve">Clinical Consultations:</w:t>
      </w:r>
      <w:r>
        <w:t xml:space="preserve">Patient-doctor interactions requiring high sensitivity and medical accuracy.</w:t>
      </w:r>
    </w:p>
    <w:p>
      <w:pPr>
        <w:numPr>
          <w:ilvl w:val="0"/>
          <w:numId w:val="1003"/>
        </w:numPr>
        <w:pStyle w:val="Compact"/>
      </w:pPr>
      <w:r>
        <w:rPr>
          <w:bCs/>
          <w:b/>
        </w:rPr>
        <w:t xml:space="preserve">Tourist Assistance:</w:t>
      </w:r>
      <w:r>
        <w:t xml:space="preserve">Inquiries at hotels and museums in central Riyadh.</w:t>
      </w:r>
    </w:p>
    <w:p>
      <w:pPr>
        <w:pStyle w:val="FirstParagraph"/>
      </w:pPr>
      <w:r>
        <w:t xml:space="preserve">All sessions were recorded, transcribed by human experts, and compared against the output of each Translator Interpreter version. The metrics for success included semantic accuracy, tone preservation (crucial in Arab culture), and response latency.</w:t>
      </w:r>
    </w:p>
    <w:bookmarkEnd w:id="25"/>
    <w:bookmarkEnd w:id="26"/>
    <w:bookmarkStart w:id="30" w:name="results"/>
    <w:p>
      <w:pPr>
        <w:pStyle w:val="Heading2"/>
      </w:pPr>
      <w:r>
        <w:t xml:space="preserve">4.0 Results</w:t>
      </w:r>
    </w:p>
    <w:p>
      <w:pPr>
        <w:pStyle w:val="FirstParagraph"/>
      </w:pPr>
      <w:r>
        <w:t xml:space="preserve">The data collected revealed significant disparities between the three versions tested.</w:t>
      </w:r>
    </w:p>
    <w:bookmarkStart w:id="27" w:name="semantic-accuracy"/>
    <w:p>
      <w:pPr>
        <w:pStyle w:val="Heading3"/>
      </w:pPr>
      <w:r>
        <w:t xml:space="preserve">4.1 Semantic Accuracy</w:t>
      </w:r>
    </w:p>
    <w:p>
      <w:pPr>
        <w:pStyle w:val="FirstParagraph"/>
      </w:pPr>
      <w:r>
        <w:t xml:space="preserve">In business negotiations within Riyadh, V1 achieved a 72% accuracy rate. It frequently mistranslated idiomatic expressions such as "Inshallah" regarding timeline commitments, often rendering them literally rather than contextually. V2 improved to 85%, primarily due to its grasp of formal MSA. However, the highest accuracy was observed in V3 (Riyadh-Adapted), which achieved a 94% success rate by recognizing local colloquialisms and business jargon unique to the region.</w:t>
      </w:r>
    </w:p>
    <w:bookmarkEnd w:id="27"/>
    <w:bookmarkStart w:id="28" w:name="cultural-sensitivity"/>
    <w:p>
      <w:pPr>
        <w:pStyle w:val="Heading3"/>
      </w:pPr>
      <w:r>
        <w:t xml:space="preserve">4.2 Cultural Sensitivity</w:t>
      </w:r>
    </w:p>
    <w:p>
      <w:pPr>
        <w:pStyle w:val="FirstParagraph"/>
      </w:pPr>
      <w:r>
        <w:t xml:space="preserve">A critical finding of this lab report concerns cultural etiquette. In Saudi Arabia Riyadh, respect for hierarchy and age is paramount. V1 often failed to adjust honorifics appropriately, leading to social friction in 15% of interactions. V3 correctly adjusted formal titles (such as "Sayyidi" or "Ustadh") based on the context, maintaining a respectful tone that is essential for successful interaction in Saudi society.</w:t>
      </w:r>
    </w:p>
    <w:bookmarkEnd w:id="28"/>
    <w:bookmarkStart w:id="29" w:name="latency-and-performance"/>
    <w:p>
      <w:pPr>
        <w:pStyle w:val="Heading3"/>
      </w:pPr>
      <w:r>
        <w:t xml:space="preserve">4.3 Latency and Performance</w:t>
      </w:r>
    </w:p>
    <w:p>
      <w:pPr>
        <w:pStyle w:val="FirstParagraph"/>
      </w:pPr>
      <w:r>
        <w:t xml:space="preserve">V1 showed the lowest latency at 0.8 seconds but sacrificed quality. V3 had a slightly higher latency of 1.2 seconds due to its larger localized database, but users reported that the wait time was acceptable given the significant improvement in understanding.</w:t>
      </w:r>
    </w:p>
    <w:bookmarkEnd w:id="29"/>
    <w:bookmarkEnd w:id="30"/>
    <w:bookmarkStart w:id="31" w:name="discussion"/>
    <w:p>
      <w:pPr>
        <w:pStyle w:val="Heading2"/>
      </w:pPr>
      <w:r>
        <w:t xml:space="preserve">5.0 Discussion</w:t>
      </w:r>
    </w:p>
    <w:p>
      <w:pPr>
        <w:pStyle w:val="FirstParagraph"/>
      </w:pPr>
      <w:r>
        <w:t xml:space="preserve">The results unequivocally demonstrate that generic Translator Interpreter tools are insufficient for the complex linguistic landscape of Saudi Arabia Riyadh. The success of V3 highlights two critical factors: first, the necessity of training data that includes regional dialects rather than just MSA; and second, the importance of cultural contextualization.</w:t>
      </w:r>
    </w:p>
    <w:p>
      <w:pPr>
        <w:pStyle w:val="BodyText"/>
      </w:pPr>
      <w:r>
        <w:t xml:space="preserve">In Riyadh, language is deeply intertwined with religion and tradition. Terms related to prayer times, hospitality (Diyafa), and legal contracts require precise handling. A Translator Interpreter that treats Arabic merely as a sequence of words without understanding the sociolinguistic environment will inevitably fail in high-stakes situations such as legal or medical settings.</w:t>
      </w:r>
    </w:p>
    <w:p>
      <w:pPr>
        <w:pStyle w:val="BodyText"/>
      </w:pPr>
      <w:r>
        <w:t xml:space="preserve">Furthermore, the integration of these systems into Riyadh’s digital infrastructure supports Vision 2030 goals by facilitating easier access for international investors and tourists. However, this must be done with a tool that respects the local identity, avoiding the perception of cultural imperialism often associated with Western-centric tech solutions.</w:t>
      </w:r>
    </w:p>
    <w:bookmarkEnd w:id="31"/>
    <w:bookmarkStart w:id="32" w:name="conclusion"/>
    <w:p>
      <w:pPr>
        <w:pStyle w:val="Heading2"/>
      </w:pPr>
      <w:r>
        <w:t xml:space="preserve">6.0 Conclusion</w:t>
      </w:r>
    </w:p>
    <w:p>
      <w:pPr>
        <w:pStyle w:val="FirstParagraph"/>
      </w:pPr>
      <w:r>
        <w:t xml:space="preserve">This laboratory report confirms that specialized localization is not optional but essential for Translator Interpreter systems operating in Saudi Arabia Riyadh. The Riyadh-Adapted model (V3) proved superior in accuracy, cultural appropriateness, and user satisfaction compared to global or generic Arab-centric models.</w:t>
      </w:r>
    </w:p>
    <w:p>
      <w:pPr>
        <w:pStyle w:val="BodyText"/>
      </w:pPr>
      <w:r>
        <w:t xml:space="preserve">We recommend that organizations deploying Translator Interpreter technologies in the region invest heavily in localized training datasets that reflect the nuances of Najdi dialect and Saudi business culture. Future research should focus on integrating real-time audio processing for heavy code-switching scenarios, which are common among bilingual residents of Riyadh.</w:t>
      </w:r>
    </w:p>
    <w:bookmarkEnd w:id="32"/>
    <w:bookmarkStart w:id="33" w:name="recommendations"/>
    <w:p>
      <w:pPr>
        <w:pStyle w:val="Heading2"/>
      </w:pPr>
      <w:r>
        <w:t xml:space="preserve">7.0 Recommendations</w:t>
      </w:r>
    </w:p>
    <w:p>
      <w:pPr>
        <w:numPr>
          <w:ilvl w:val="0"/>
          <w:numId w:val="1004"/>
        </w:numPr>
        <w:pStyle w:val="Compact"/>
      </w:pPr>
      <w:r>
        <w:rPr>
          <w:bCs/>
          <w:b/>
        </w:rPr>
        <w:t xml:space="preserve">Data Expansion:</w:t>
      </w:r>
      <w:r>
        <w:t xml:space="preserve">Continuously update the dialectal database to include emerging slang and trends in Riyadh’s youth culture.</w:t>
      </w:r>
    </w:p>
    <w:p>
      <w:pPr>
        <w:numPr>
          <w:ilvl w:val="0"/>
          <w:numId w:val="1004"/>
        </w:numPr>
        <w:pStyle w:val="Compact"/>
      </w:pPr>
      <w:r>
        <w:rPr>
          <w:bCs/>
          <w:b/>
        </w:rPr>
        <w:t xml:space="preserve">Human-in-the-Loop:</w:t>
      </w:r>
      <w:r>
        <w:t xml:space="preserve">In critical sectors like healthcare and law, Translator Interpreter outputs should always be reviewed by certified human interpreters until AI reliability reaches 98%.</w:t>
      </w:r>
    </w:p>
    <w:p>
      <w:pPr>
        <w:numPr>
          <w:ilvl w:val="0"/>
          <w:numId w:val="1004"/>
        </w:numPr>
        <w:pStyle w:val="Compact"/>
      </w:pPr>
      <w:r>
        <w:rPr>
          <w:bCs/>
          <w:b/>
        </w:rPr>
        <w:t xml:space="preserve">User Training:</w:t>
      </w:r>
      <w:r>
        <w:t xml:space="preserve">Educate users on the limitations of AI translation to prevent over-reliance in sensitive negotiations.</w:t>
      </w:r>
    </w:p>
    <w:p>
      <w:pPr>
        <w:pStyle w:val="FirstParagraph"/>
      </w:pPr>
      <w:r>
        <w:rPr>
          <w:bCs/>
          <w:b/>
        </w:rPr>
        <w:t xml:space="preserve">Prepared By:</w:t>
      </w:r>
    </w:p>
    <w:p>
      <w:pPr>
        <w:pStyle w:val="BodyText"/>
      </w:pPr>
      <w:r>
        <w:t xml:space="preserve">Linguistic Technology Research Team</w:t>
      </w:r>
    </w:p>
    <w:p>
      <w:pPr>
        <w:pStyle w:val="BodyText"/>
      </w:pPr>
      <w:r>
        <w:t xml:space="preserve">Riyadh Center for Advanced Computing</w:t>
      </w:r>
    </w:p>
    <w:p>
      <w:pPr>
        <w:pStyle w:val="BodyText"/>
      </w:pPr>
      <w:r>
        <w:br/>
      </w:r>
      <w:r>
        <w:br/>
      </w:r>
      <w:r>
        <w:br/>
      </w:r>
    </w:p>
    <w:p>
      <w:r>
        <w:pict>
          <v:rect style="width:0;height:1.5pt" o:hralign="center" o:hrstd="t" o:hr="t"/>
        </w:pict>
      </w:r>
    </w:p>
    <w:p>
      <w:pPr>
        <w:pStyle w:val="FirstParagraph"/>
      </w:pPr>
      <w:r>
        <w:rPr>
          <w:iCs/>
          <w:i/>
        </w:rPr>
        <w:t xml:space="preserve">*This document is formatted in accordance with international laboratory reporting standards and adapted specifically for the regional requirements of Saudi Arabia Riyadh.</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Linguistic Adaptation and Implementation of Translator Interpreter Systems in Saudi Arabia Riyadh</dc:title>
  <dc:creator/>
  <dc:language>en</dc:language>
  <cp:keywords/>
  <dcterms:created xsi:type="dcterms:W3CDTF">2026-07-29T05:28:22Z</dcterms:created>
  <dcterms:modified xsi:type="dcterms:W3CDTF">2026-07-29T05:28:22Z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