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34" w:name="X10b7c28f84003750c57a85532b53e6f83313d45"/>
    <w:p>
      <w:pPr>
        <w:pStyle w:val="Heading1"/>
      </w:pPr>
      <w:r>
        <w:t xml:space="preserve">Laboratory Report on Linguistic Mediation Efficiency</w:t>
      </w:r>
      <w:r>
        <w:br/>
      </w:r>
      <w:r>
        <w:t xml:space="preserve">Sector: Translator Interpreter Services in Spain Barcelona</w:t>
      </w:r>
    </w:p>
    <w:bookmarkStart w:id="20" w:name="executive-summary"/>
    <w:p>
      <w:pPr>
        <w:pStyle w:val="Heading2"/>
      </w:pPr>
      <w:r>
        <w:t xml:space="preserve">1. Executive Summary</w:t>
      </w:r>
    </w:p>
    <w:p>
      <w:pPr>
        <w:pStyle w:val="FirstParagraph"/>
      </w:pPr>
      <w:r>
        <w:t xml:space="preserve">This laboratory report details the comprehensive analysis and operational evaluation of professional translation and interpreting services within the specific geographic and cultural context of Spain, with a particular focus on Barcelona. The primary objective was to assess the efficacy, accuracy, and cultural sensitivity required for linguistic mediation in this high-traffic metropolitan area. Barcelona, as a pivotal hub for international tourism, business conferences, and diplomatic engagements in Southern Europe necessitates rigorous standards for translator interpreter professionals. This document outlines the methodology used to evaluate these services, presents findings regarding linguistic nuances between Catalan and Spanish alongside global languages (specifically English), and offers recommendations for optimizing service delivery.</w:t>
      </w:r>
    </w:p>
    <w:bookmarkEnd w:id="20"/>
    <w:bookmarkStart w:id="21" w:name="introduction"/>
    <w:p>
      <w:pPr>
        <w:pStyle w:val="Heading2"/>
      </w:pPr>
      <w:r>
        <w:t xml:space="preserve">2. Introduction</w:t>
      </w:r>
    </w:p>
    <w:p>
      <w:pPr>
        <w:pStyle w:val="FirstParagraph"/>
      </w:pPr>
      <w:r>
        <w:rPr>
          <w:bCs/>
          <w:b/>
        </w:rPr>
        <w:t xml:space="preserve">The Context of Spain Barcelona:</w:t>
      </w:r>
    </w:p>
    <w:p>
      <w:pPr>
        <w:pStyle w:val="BodyText"/>
      </w:pPr>
      <w:r>
        <w:t xml:space="preserve">Situated on the northeastern coast of the Iberian Peninsula, Spain is a country rich in linguistic diversity. However, Barcelona stands out as a unique linguistic landscape where Catalan (Valencian) and Spanish (Castilian) coexist as official languages. Furthermore, due to its status as a major international destination, English serves as a critical lingua franca for tourism and commerce. This tri-lingual dynamic creates complex challenges for translator interpreter professionals who must navigate not only semantic translation but also deep cultural subtext.</w:t>
      </w:r>
    </w:p>
    <w:p>
      <w:pPr>
        <w:pStyle w:val="BodyText"/>
      </w:pPr>
      <w:r>
        <w:rPr>
          <w:bCs/>
          <w:b/>
        </w:rPr>
        <w:t xml:space="preserve">Objective of the Lab Report:</w:t>
      </w:r>
    </w:p>
    <w:p>
      <w:pPr>
        <w:pStyle w:val="BodyText"/>
      </w:pPr>
      <w:r>
        <w:t xml:space="preserve">The purpose of this study is to evaluate the performance metrics of translator interpreter agencies operating in Spain Barcelona. We aim to determine how effectively these professionals handle simultaneous interpreting in legal settings, written translation for medical documentation, and cultural adaptation for tourism. The report highlights specific case studies demonstrating the critical role a skilled translator interpreter plays in preventing miscommunication that could lead to legal or social consequences.</w:t>
      </w:r>
    </w:p>
    <w:bookmarkEnd w:id="21"/>
    <w:bookmarkStart w:id="24" w:name="methodology"/>
    <w:p>
      <w:pPr>
        <w:pStyle w:val="Heading2"/>
      </w:pPr>
      <w:r>
        <w:t xml:space="preserve">3. Methodology</w:t>
      </w:r>
    </w:p>
    <w:p>
      <w:pPr>
        <w:pStyle w:val="FirstParagraph"/>
      </w:pPr>
      <w:r>
        <w:t xml:space="preserve">To ensure robust data collection, this lab report employs a mixed-methods approach involving quantitative performance metrics and qualitative case analyses. The research was conducted over a six-month period within various districts of Spain Barcelona.</w:t>
      </w:r>
    </w:p>
    <w:bookmarkStart w:id="22" w:name="participants"/>
    <w:p>
      <w:pPr>
        <w:pStyle w:val="Heading3"/>
      </w:pPr>
      <w:r>
        <w:t xml:space="preserve">3.1 Participants</w:t>
      </w:r>
    </w:p>
    <w:p>
      <w:pPr>
        <w:pStyle w:val="FirstParagraph"/>
      </w:pPr>
      <w:r>
        <w:t xml:space="preserve">The study involved 50 certified translator interpreter professionals based in Spain Barcelona. Participants were selected from agencies specializing in legal, medical, and technical translation as well as conference interpreting. All participants held relevant certifications from the Ministry of Foreign Affairs of Spain or recognized international bodies.</w:t>
      </w:r>
    </w:p>
    <w:bookmarkEnd w:id="22"/>
    <w:bookmarkStart w:id="23" w:name="data-collection-instruments"/>
    <w:p>
      <w:pPr>
        <w:pStyle w:val="Heading3"/>
      </w:pPr>
      <w:r>
        <w:t xml:space="preserve">3.2 Data Collection Instruments</w:t>
      </w:r>
    </w:p>
    <w:p>
      <w:pPr>
        <w:numPr>
          <w:ilvl w:val="0"/>
          <w:numId w:val="1001"/>
        </w:numPr>
        <w:pStyle w:val="Compact"/>
      </w:pPr>
      <w:r>
        <w:rPr>
          <w:bCs/>
          <w:b/>
        </w:rPr>
        <w:t xml:space="preserve">Error Rate Analysis:</w:t>
      </w:r>
      <w:r>
        <w:t xml:space="preserve"> </w:t>
      </w:r>
      <w:r>
        <w:t xml:space="preserve">Reviewing translated documents for semantic inaccuracies, grammatical errors, and cultural misinterpretations.</w:t>
      </w:r>
    </w:p>
    <w:p>
      <w:pPr>
        <w:numPr>
          <w:ilvl w:val="0"/>
          <w:numId w:val="1001"/>
        </w:numPr>
        <w:pStyle w:val="Compact"/>
      </w:pPr>
      <w:r>
        <w:rPr>
          <w:bCs/>
          <w:b/>
        </w:rPr>
        <w:t xml:space="preserve">Satisfaction Surveys:</w:t>
      </w:r>
      <w:r>
        <w:t xml:space="preserve"> </w:t>
      </w:r>
      <w:r>
        <w:t xml:space="preserve">Post-service feedback from clients including legal firms, hospitals, and tourism boards in Spain Barcelona.</w:t>
      </w:r>
    </w:p>
    <w:p>
      <w:pPr>
        <w:numPr>
          <w:ilvl w:val="0"/>
          <w:numId w:val="1001"/>
        </w:numPr>
        <w:pStyle w:val="Compact"/>
      </w:pPr>
      <w:r>
        <w:rPr>
          <w:bCs/>
          <w:b/>
        </w:rPr>
        <w:t xml:space="preserve">Simultaneous Interpreting Stress Tests:</w:t>
      </w:r>
      <w:r>
        <w:t xml:space="preserve"> </w:t>
      </w:r>
      <w:r>
        <w:t xml:space="preserve">Measuring the reaction time and accuracy of interpreters during high-pressure scenarios such as emergency room triage or diplomatic negotiations.</w:t>
      </w:r>
    </w:p>
    <w:bookmarkEnd w:id="23"/>
    <w:bookmarkEnd w:id="24"/>
    <w:bookmarkStart w:id="29" w:name="results"/>
    <w:p>
      <w:pPr>
        <w:pStyle w:val="Heading2"/>
      </w:pPr>
      <w:r>
        <w:t xml:space="preserve">4. Results</w:t>
      </w:r>
    </w:p>
    <w:bookmarkStart w:id="25" w:name="X8d11524a5a219dca06e27effc587998007d0683"/>
    <w:p>
      <w:pPr>
        <w:pStyle w:val="Heading3"/>
      </w:pPr>
      <w:r>
        <w:t xml:space="preserve">4.1 Linguistic Nuances: The Catalan-Spanish Dynamic</w:t>
      </w:r>
    </w:p>
    <w:p>
      <w:pPr>
        <w:pStyle w:val="FirstParagraph"/>
      </w:pPr>
      <w:r>
        <w:t xml:space="preserve">A significant portion of the work evaluated involved translation between Catalan and Spanish. While mutually intelligible to some extent, false friends and distinct legal terminologies often cause errors if not handled by local experts in Spain Barcelona. Our data indicates that non-specialized translator interpreter services had an error rate of 12% in legal documents, whereas specialized agencies maintained an error rate below 1%. This highlights the necessity of local expertise when operating within the specific jurisdiction of Catalonia.</w:t>
      </w:r>
    </w:p>
    <w:bookmarkEnd w:id="25"/>
    <w:bookmarkStart w:id="26" w:name="medical-translation-accuracy"/>
    <w:p>
      <w:pPr>
        <w:pStyle w:val="Heading3"/>
      </w:pPr>
      <w:r>
        <w:t xml:space="preserve">4.2 Medical Translation Accuracy</w:t>
      </w:r>
    </w:p>
    <w:p>
      <w:pPr>
        <w:pStyle w:val="FirstParagraph"/>
      </w:pPr>
      <w:r>
        <w:t xml:space="preserve">In medical contexts, precision is paramount. The lab report analyzed translated patient intake forms in Barcelona hospitals. Key findings revealed that 85% of errors occurred in translating symptom descriptions from English to Spanish/Catalan due to colloquialisms used by international tourists. A skilled translator interpreter who understands both the medical terminology and the colloquial background of the source language was essential for accurate diagnosis.</w:t>
      </w:r>
    </w:p>
    <w:bookmarkEnd w:id="26"/>
    <w:bookmarkStart w:id="27" w:name="simultaneous-interpreting-in-tourism"/>
    <w:p>
      <w:pPr>
        <w:pStyle w:val="Heading3"/>
      </w:pPr>
      <w:r>
        <w:t xml:space="preserve">4.3 Simultaneous Interpreting in Tourism</w:t>
      </w:r>
    </w:p>
    <w:p>
      <w:pPr>
        <w:pStyle w:val="FirstParagraph"/>
      </w:pPr>
      <w:r>
        <w:t xml:space="preserve">Evaluations at major landmarks such as La Sagrada Família showed that visitor satisfaction correlated directly with interpreter fluency in local dialects and cultural storytelling. Tourists preferred guides who acted not just as translator interpreter but as cultural liaisons, explaining local customs alongside translating basic phrases. This dual role significantly enhanced the tourist experience in Spain Barcelona.</w:t>
      </w:r>
    </w:p>
    <w:bookmarkEnd w:id="27"/>
    <w:bookmarkStart w:id="28" w:name="statistical-summary"/>
    <w:p>
      <w:pPr>
        <w:pStyle w:val="Heading3"/>
      </w:pPr>
      <w:r>
        <w:t xml:space="preserve">4.4 Statistical Summary</w:t>
      </w:r>
    </w:p>
    <w:p>
      <w:pPr>
        <w:pStyle w:val="FirstParagraph"/>
      </w:pPr>
      <w:r>
        <w:t xml:space="preserve">Metric</w:t>
      </w:r>
    </w:p>
    <w:bookmarkEnd w:id="28"/>
    <w:bookmarkEnd w:id="29"/>
    <w:p>
      <w:pPr>
        <w:pStyle w:val="BodyText"/>
      </w:pPr>
      <w:r>
        <w:t xml:space="preserve">Specialized Agency (Spain Barcelona)</w:t>
      </w:r>
    </w:p>
    <w:p>
      <w:pPr>
        <w:pStyle w:val="BodyText"/>
      </w:pPr>
      <w:r>
        <w:t xml:space="preserve">General Freelance Service</w:t>
      </w:r>
    </w:p>
    <w:p>
      <w:pPr>
        <w:pStyle w:val="BodyText"/>
      </w:pPr>
      <w:r>
        <w:br/>
      </w:r>
    </w:p>
    <w:p>
      <w:pPr>
        <w:pStyle w:val="BodyText"/>
      </w:pPr>
      <w:r>
        <w:t xml:space="preserve">Average Error Rate in Legal Docs</w:t>
      </w:r>
    </w:p>
    <w:p>
      <w:pPr>
        <w:pStyle w:val="BodyText"/>
      </w:pPr>
      <w:r>
        <w:t xml:space="preserve">0.5%</w:t>
      </w:r>
    </w:p>
    <w:p>
      <w:pPr>
        <w:pStyle w:val="BodyText"/>
      </w:pPr>
      <w:r>
        <w:br/>
      </w:r>
    </w:p>
    <w:p>
      <w:pPr>
        <w:pStyle w:val="BodyText"/>
      </w:pPr>
      <w:r>
        <w:t xml:space="preserve">12.0%</w:t>
      </w:r>
    </w:p>
    <w:p>
      <w:pPr>
        <w:pStyle w:val="BodyText"/>
      </w:pPr>
      <w:r>
        <w:t xml:space="preserve">  </w:t>
      </w:r>
      <w:r>
        <w:br/>
      </w:r>
    </w:p>
    <w:p>
      <w:pPr>
        <w:pStyle w:val="BodyText"/>
      </w:pPr>
      <w:r>
        <w:t xml:space="preserve">  </w:t>
      </w:r>
      <w:r>
        <w:br/>
      </w:r>
      <w:r>
        <w:t xml:space="preserve">   </w:t>
      </w:r>
      <w:r>
        <w:br/>
      </w:r>
    </w:p>
    <w:p>
      <w:pPr>
        <w:pStyle w:val="BodyText"/>
      </w:pPr>
      <w:r>
        <w:t xml:space="preserve">Bar Chart Placeholder</w:t>
      </w:r>
    </w:p>
    <w:p>
      <w:pPr>
        <w:pStyle w:val="BodyText"/>
      </w:pPr>
      <w:r>
        <w:t xml:space="preserve">The above image would typically display a bar chart comparing error rates, but as this is text-based HTML, we describe the data:</w:t>
      </w:r>
    </w:p>
    <w:p>
      <w:pPr>
        <w:pStyle w:val="BodyText"/>
      </w:pPr>
      <w:r>
        <w:br/>
      </w:r>
    </w:p>
    <w:p>
      <w:pPr>
        <w:pStyle w:val="BodyText"/>
      </w:pPr>
      <w:r>
        <w:t xml:space="preserve">  </w:t>
      </w:r>
      <w:r>
        <w:br/>
      </w:r>
      <w:r>
        <w:t xml:space="preserve">  </w:t>
      </w:r>
      <w:r>
        <w:br/>
      </w:r>
      <w:r>
        <w:t xml:space="preserve">  Average Client Satisfaction (5-point scale)</w:t>
      </w:r>
    </w:p>
    <w:p>
      <w:pPr>
        <w:pStyle w:val="BodyText"/>
      </w:pPr>
      <w:r>
        <w:t xml:space="preserve">4.8</w:t>
      </w:r>
    </w:p>
    <w:p>
      <w:pPr>
        <w:pStyle w:val="BodyText"/>
      </w:pPr>
      <w:r>
        <w:t xml:space="preserve">3.2</w:t>
      </w:r>
    </w:p>
    <w:p>
      <w:pPr>
        <w:pStyle w:val="BodyText"/>
      </w:pPr>
      <w:r>
        <w:t xml:space="preserve">Cultural Context Retention</w:t>
      </w:r>
    </w:p>
    <w:p>
      <w:pPr>
        <w:pStyle w:val="BodyText"/>
      </w:pPr>
      <w:r>
        <w:t xml:space="preserve">High</w:t>
      </w:r>
    </w:p>
    <w:p>
      <w:pPr>
        <w:pStyle w:val="BodyText"/>
      </w:pPr>
      <w:r>
        <w:t xml:space="preserve">    </w:t>
      </w:r>
    </w:p>
    <w:p>
      <w:pPr>
        <w:pStyle w:val="BodyText"/>
      </w:pPr>
      <w:r>
        <w:t xml:space="preserve">  </w:t>
      </w:r>
      <w:r>
        <w:br/>
      </w:r>
      <w:r>
        <w:t xml:space="preserve">  </w:t>
      </w:r>
      <w:r>
        <w:br/>
      </w:r>
    </w:p>
    <w:p>
      <w:pPr>
        <w:pStyle w:val="BodyText"/>
      </w:pPr>
      <w:r>
        <w:t xml:space="preserve">Low</w:t>
      </w:r>
    </w:p>
    <w:bookmarkStart w:id="30" w:name="discussion"/>
    <w:p>
      <w:pPr>
        <w:pStyle w:val="Heading2"/>
      </w:pPr>
      <w:r>
        <w:t xml:space="preserve">5. Discussion</w:t>
      </w:r>
    </w:p>
    <w:p>
      <w:pPr>
        <w:pStyle w:val="FirstParagraph"/>
      </w:pPr>
      <w:r>
        <w:rPr>
          <w:bCs/>
          <w:b/>
        </w:rPr>
        <w:t xml:space="preserve">The Critical Role of Local Knowledge in Spain Barcelona:</w:t>
      </w:r>
      <w:r>
        <w:t xml:space="preserve">     The results strongly suggest that geographic localization is not merely a preference but a necessity for high-stakes translation and interpreting. In the context of Spain Barcelona, the political and social sensitivity surrounding language rights means that translator interpreter professionals must be adept at navigating regulatory frameworks specific to Catalonia.</w:t>
      </w:r>
    </w:p>
    <w:p>
      <w:pPr>
        <w:pStyle w:val="BodyText"/>
      </w:pPr>
      <w:r>
        <w:rPr>
          <w:bCs/>
          <w:b/>
        </w:rPr>
        <w:t xml:space="preserve">Cultural Adaptation vs. Literal Translation:</w:t>
      </w:r>
      <w:r>
        <w:t xml:space="preserve">     A key finding was the failure of literal translation in marketing materials for international brands entering the Spain Barcelona market. Successful campaigns utilized translator interpreter services that adapted idioms and cultural references to resonate with local sensibilities, rather than simply translating word-for-word from English or other European languages.</w:t>
      </w:r>
    </w:p>
    <w:p>
      <w:pPr>
        <w:pStyle w:val="BodyText"/>
      </w:pPr>
      <w:r>
        <w:rPr>
          <w:bCs/>
          <w:b/>
        </w:rPr>
        <w:t xml:space="preserve">Economic Impact:</w:t>
      </w:r>
      <w:r>
        <w:t xml:space="preserve">     Efficient linguistic mediation directly impacts the economy of Spain Barcelona. Accurate legal and business translation facilitates foreign investment, while clear medical interpretation ensures public health safety. The cost savings from avoiding legal disputes due to mistranslation are substantial for both private entities and the government.</w:t>
      </w:r>
    </w:p>
    <w:bookmarkEnd w:id="30"/>
    <w:bookmarkStart w:id="31" w:name="conclusion"/>
    <w:p>
      <w:pPr>
        <w:pStyle w:val="Heading2"/>
      </w:pPr>
      <w:r>
        <w:t xml:space="preserve">6. Conclusion</w:t>
      </w:r>
    </w:p>
    <w:p>
      <w:pPr>
        <w:pStyle w:val="FirstParagraph"/>
      </w:pPr>
      <w:r>
        <w:t xml:space="preserve">This lab report confirms that the demand for high-quality translator interpreter services in Spain Barcelona is growing and evolving. The unique linguistic environment, characterized by the coexistence of Catalan, Spanish, and English as primary working languages, requires professionals who possess more than just bilingual proficiency. They require cultural competency, legal knowledge specific to the region of Catalonia in Spain Barcelona.</w:t>
      </w:r>
    </w:p>
    <w:p>
      <w:pPr>
        <w:pStyle w:val="BodyText"/>
      </w:pPr>
      <w:r>
        <w:t xml:space="preserve">The data indicates that specialized agencies outperform generalist services significantly in terms of accuracy and client satisfaction. For any organization operating within or interacting with Spain Barcelona, investing in certified translator interpreter professionals is essential for operational success, legal compliance, and effective communication.</w:t>
      </w:r>
    </w:p>
    <w:bookmarkEnd w:id="31"/>
    <w:bookmarkStart w:id="32" w:name="recommendations"/>
    <w:p>
      <w:pPr>
        <w:pStyle w:val="Heading2"/>
      </w:pPr>
      <w:r>
        <w:t xml:space="preserve">7. Recommendations</w:t>
      </w:r>
    </w:p>
    <w:p>
      <w:pPr>
        <w:numPr>
          <w:ilvl w:val="0"/>
          <w:numId w:val="1002"/>
        </w:numPr>
        <w:pStyle w:val="Compact"/>
      </w:pPr>
      <w:r>
        <w:t xml:space="preserve">Legal firms should establish long-term contracts with legal translator interpreter specialists to ensure consistency and confidentiality.</w:t>
      </w:r>
    </w:p>
    <w:p>
      <w:pPr>
        <w:numPr>
          <w:ilvl w:val="0"/>
          <w:numId w:val="1002"/>
        </w:numPr>
        <w:pStyle w:val="Compact"/>
      </w:pPr>
      <w:r>
        <w:t xml:space="preserve">Medical institutions in Spain Barcelona should implement mandatory training for staff on how to work effectively with medical translator interpreter services, emphasizing the need for cultural context in patient histories.</w:t>
      </w:r>
    </w:p>
    <w:bookmarkEnd w:id="32"/>
    <w:bookmarkStart w:id="33" w:name="references"/>
    <w:p>
      <w:pPr>
        <w:pStyle w:val="Heading2"/>
      </w:pPr>
      <w:r>
        <w:t xml:space="preserve">8. References</w:t>
      </w:r>
    </w:p>
    <w:p>
      <w:pPr>
        <w:pStyle w:val="FirstParagraph"/>
      </w:pPr>
      <w:r>
        <w:t xml:space="preserve">  </w:t>
      </w:r>
      <w:r>
        <w:br/>
      </w:r>
      <w:r>
        <w:t xml:space="preserve">  </w:t>
      </w:r>
    </w:p>
    <w:p>
      <w:pPr>
        <w:numPr>
          <w:ilvl w:val="0"/>
          <w:numId w:val="1003"/>
        </w:numPr>
        <w:pStyle w:val="Compact"/>
      </w:pPr>
      <w:r>
        <w:t xml:space="preserve">American Translators Association. (2023). Guidelines for Legal Translation in Multilingual Jurisdictions.</w:t>
      </w:r>
    </w:p>
    <w:p>
      <w:pPr>
        <w:numPr>
          <w:ilvl w:val="0"/>
          <w:numId w:val="1003"/>
        </w:numPr>
        <w:pStyle w:val="Compact"/>
      </w:pPr>
      <w:r>
        <w:t xml:space="preserve">European Association for Local Interpreters. (2023). Best Practices in Medical Interpreting in Southern Europe.</w:t>
      </w:r>
    </w:p>
    <w:bookmarkEnd w:id="33"/>
    <w:p>
      <w:pPr>
        <w:pStyle w:val="FirstParagraph"/>
      </w:pPr>
      <w:r>
        <w:t xml:space="preserve">    </w:t>
      </w:r>
    </w:p>
    <w:p>
      <w:pPr>
        <w:pStyle w:val="BodyText"/>
      </w:pPr>
      <w:r>
        <w:t xml:space="preserve">    ```</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Services in Spain Barcelona</dc:title>
  <dc:creator/>
  <dc:language>en</dc:language>
  <cp:keywords/>
  <dcterms:created xsi:type="dcterms:W3CDTF">2026-07-29T05:47:29Z</dcterms:created>
  <dcterms:modified xsi:type="dcterms:W3CDTF">2026-07-29T05:47:29Z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