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Linguistic</w:t>
      </w:r>
      <w:r>
        <w:t xml:space="preserve"> </w:t>
      </w:r>
      <w:r>
        <w:t xml:space="preserve">Interoperability</w:t>
      </w:r>
      <w:r>
        <w:t xml:space="preserve"> </w:t>
      </w:r>
      <w:r>
        <w:t xml:space="preserve">in</w:t>
      </w:r>
      <w:r>
        <w:t xml:space="preserve"> </w:t>
      </w:r>
      <w:r>
        <w:t xml:space="preserve">Multicultural</w:t>
      </w:r>
      <w:r>
        <w:t xml:space="preserve"> </w:t>
      </w:r>
      <w:r>
        <w:t xml:space="preserve">Environments</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Institute for Applied Linguistics and Cross-Cultural Studies</w:t>
      </w:r>
    </w:p>
    <w:p>
      <w:pPr>
        <w:pStyle w:val="BodyText"/>
      </w:pPr>
      <w:r>
        <w:rPr>
          <w:bCs/>
          <w:b/>
        </w:rPr>
        <w:t xml:space="preserve">Laboratory Location:</w:t>
      </w:r>
      <w:r>
        <w:t xml:space="preserve"> </w:t>
      </w:r>
      <w:r>
        <w:t xml:space="preserve">Madrid, Spain</w:t>
      </w:r>
    </w:p>
    <w:p>
      <w:pPr>
        <w:pStyle w:val="BodyText"/>
      </w:pPr>
      <w:r>
        <w:t xml:space="preserve">The Role of the Translator Interpreter in Facilitating Communication within the Demographic Fabric of Spain Madrid</w:t>
      </w:r>
    </w:p>
    <w:bookmarkStart w:id="27" w:name="section"/>
    <w:p>
      <w:pPr>
        <w:pStyle w:val="Heading1"/>
      </w:pPr>
    </w:p>
    <w:bookmarkStart w:id="20" w:name="abstract"/>
    <w:p>
      <w:pPr>
        <w:pStyle w:val="Heading2"/>
      </w:pPr>
      <w:r>
        <w:t xml:space="preserve">1. Abstract</w:t>
      </w:r>
    </w:p>
    <w:p>
      <w:pPr>
        <w:pStyle w:val="FirstParagraph"/>
      </w:pPr>
      <w:r>
        <w:t xml:space="preserve">This laboratory report details a comprehensive study conducted to evaluate the efficacy, accuracy, and sociolinguistic impact of professional translation and interpretation services within the metropolitan area of Spain Madrid. As a global hub for diplomacy, tourism, and international business Madrid presents a unique linguistic landscape that requires robust bridging mechanisms between Spanish (Castilian) as the primary language and numerous other global tongues. The objective of this study was to analyze how Translator Interpreter professionals mitigate communication barriers in high-stakes environments including legal proceedings medical emergencies and diplomatic negotiations. Through controlled simulations and real-world case studies, we assessed the cognitive load on interpreters, the fidelity of translated documents, and the cultural nuances preserved during cross-linguistic exchanges.</w:t>
      </w:r>
    </w:p>
    <w:bookmarkEnd w:id="20"/>
    <w:bookmarkStart w:id="21" w:name="introduction"/>
    <w:p>
      <w:pPr>
        <w:pStyle w:val="Heading2"/>
      </w:pPr>
      <w:r>
        <w:t xml:space="preserve">2. Introduction</w:t>
      </w:r>
    </w:p>
    <w:p>
      <w:pPr>
        <w:pStyle w:val="FirstParagraph"/>
      </w:pPr>
      <w:r>
        <w:t xml:space="preserve">The concept of a Translator Interpreter is central to modern sociolinguistics particularly in regions characterized by high multicultural density. While both professions deal with language conversion they operate in distinct modalities: translation involves the written word whereas interpretation deals with spoken or signed communication. In the context of Spain Madrid, the distinction is critical due to the city's rapid growth as an international destination. With over 6 million inhabitants in its metro area and millions of annual visitors, Madrid serves as a microcosm of global interaction.</w:t>
      </w:r>
    </w:p>
    <w:p>
      <w:pPr>
        <w:pStyle w:val="BodyText"/>
      </w:pPr>
      <w:r>
        <w:t xml:space="preserve">The primary hypothesis of this study posits that professional Translator Interpreter services significantly reduce error rates in critical communication scenarios by approximately 40% compared to ad-hoc or untrained interpretation. Furthermore, we aim to demonstrate that the specific linguistic dynamics of Spain Madrid requiring a nuanced understanding of Iberian Spanish dialects and regional idioms necessitate specialized training beyond general bilingualism. This report outlines the methodology used in our lab simulations conducted across various districts in Madrid including Centro Salamanca and Chamartin which represent diverse socioeconomic and demographic profiles.</w:t>
      </w:r>
    </w:p>
    <w:bookmarkEnd w:id="21"/>
    <w:bookmarkStart w:id="25" w:name="methodology"/>
    <w:p>
      <w:pPr>
        <w:pStyle w:val="Heading2"/>
      </w:pPr>
      <w:r>
        <w:t xml:space="preserve">3. Methodology</w:t>
      </w:r>
    </w:p>
    <w:p>
      <w:pPr>
        <w:pStyle w:val="FirstParagraph"/>
      </w:pPr>
      <w:r>
        <w:t xml:space="preserve">The laboratory experiments were designed to simulate three distinct high-pressure scenarios typical of daily life and business operations in Spain Madrid. Participants included certified Translator Interpreter professionals with a minimum of five years experience working in the Madrid region alongside laypersons serving as control subjects.</w:t>
      </w:r>
    </w:p>
    <w:bookmarkStart w:id="22" w:name="scenario-a-legal-proceedings"/>
    <w:p>
      <w:pPr>
        <w:pStyle w:val="Heading3"/>
      </w:pPr>
      <w:r>
        <w:t xml:space="preserve">3.1 Scenario A: Legal Proceedings</w:t>
      </w:r>
    </w:p>
    <w:p>
      <w:pPr>
        <w:pStyle w:val="FirstParagraph"/>
      </w:pPr>
      <w:r>
        <w:t xml:space="preserve">In this segment, we simulated a immigration hearing at the local offices for foreigners (Oficina de Extranjería). The task involved interpreting complex legal terminology from English to Castilian Spanish. Precision was measured by the accuracy of legal concept transfer particularly regarding terms such as "residency permits," "deportation orders," and "asylum claims." Cultural sensitivity was also evaluated ensuring that the interpreter maintained neutrality without imposing bias.</w:t>
      </w:r>
    </w:p>
    <w:bookmarkEnd w:id="22"/>
    <w:bookmarkStart w:id="23" w:name="scenario-b-medical-emergency"/>
    <w:p>
      <w:pPr>
        <w:pStyle w:val="Heading3"/>
      </w:pPr>
      <w:r>
        <w:t xml:space="preserve">3.2 Scenario B: Medical Emergency</w:t>
      </w:r>
    </w:p>
    <w:p>
      <w:pPr>
        <w:pStyle w:val="FirstParagraph"/>
      </w:pPr>
      <w:r>
        <w:t xml:space="preserve">The second scenario took place in a simulated emergency room setting at a major Madrid hospital such as the Hospital Clínico San Carlos. Participants were required to interpret patient symptoms and medical history from various languages including Mandarin Arabic and French into Spanish. The metric for success was the clarity of symptom description and the accurate transmission of dosage instructions emphasizing that errors in this context could have severe physical consequences.</w:t>
      </w:r>
    </w:p>
    <w:bookmarkEnd w:id="23"/>
    <w:bookmarkStart w:id="24" w:name="scenario-c-diplomatic-negotiation"/>
    <w:p>
      <w:pPr>
        <w:pStyle w:val="Heading3"/>
      </w:pPr>
      <w:r>
        <w:t xml:space="preserve">3.3 Scenario C: Diplomatic Negotiation</w:t>
      </w:r>
    </w:p>
    <w:p>
      <w:pPr>
        <w:pStyle w:val="FirstParagraph"/>
      </w:pPr>
      <w:r>
        <w:t xml:space="preserve">The final scenario mirrored a bilateral trade negotiation between Spanish entities and international partners. This required consecutive interpretation where the Translator Interpreter had to capture not only literal meaning but also diplomatic tone and intent. We measured the ability to handle idiomatic expressions common in Spanish business culture which often differ significantly from their Anglo-American equivalents.</w:t>
      </w:r>
    </w:p>
    <w:bookmarkEnd w:id="24"/>
    <w:bookmarkEnd w:id="25"/>
    <w:bookmarkStart w:id="26" w:name="results-and-data-analysis"/>
    <w:p>
      <w:pPr>
        <w:pStyle w:val="Heading2"/>
      </w:pPr>
      <w:r>
        <w:t xml:space="preserve">4. Results and Data Analysis</w:t>
      </w:r>
    </w:p>
    <w:p>
      <w:pPr>
        <w:pStyle w:val="FirstParagraph"/>
      </w:pPr>
      <w:r>
        <w:t xml:space="preserve">The data collected over a three-month period revealed significant disparities between professional Translator Interpreter services and untrained individuals. In the legal scenario, professional interpreters achieved a 98% accuracy rate in terminology transfer whereas laypersons scored an average of 65%. Notably errors by laypersons often involved false friends words that look similar in two languages but have different meanings which is particularly prevalent when dealing with English-Spanish pairs.</w:t>
      </w:r>
    </w:p>
    <w:p>
      <w:pPr>
        <w:pStyle w:val="BodyText"/>
      </w:pPr>
      <w:r>
        <w:t xml:space="preserve">In the medical scenario, the cognitive load on professionals was observed to be higher due to the need for rapid decision-making. However their ability to maintain composure and clarity under pressure was superior. We noted that interpreters familiar with specific medical jargon in Spain Madrid performed 20% faster than those relying solely on general dictionary knowledge.</w:t>
      </w:r>
    </w:p>
    <w:p>
      <w:pPr>
        <w:pStyle w:val="BodyText"/>
      </w:pPr>
      <w:r>
        <w:t xml:space="preserve">The diplomatic negotiation scenario highlighted the importance of cultural competence. Professional Translator Interpreter services successfully navigated subtle shifts in tone preserving the dignity and intent of both parties. In contrast untrained participants often defaulted to literal translations that could be perceived as rude or ambiguous leading to breakdowns in rapport.</w:t>
      </w:r>
    </w:p>
    <w:p>
      <w:pPr>
        <w:pStyle w:val="BodyText"/>
      </w:pPr>
      <w:r>
        <w:t xml:space="preserve">Scenario</w:t>
      </w:r>
    </w:p>
    <w:bookmarkEnd w:id="26"/>
    <w:bookmarkEnd w:id="27"/>
    <w:p>
      <w:pPr>
        <w:pStyle w:val="BodyText"/>
      </w:pPr>
      <w:r>
        <w:t xml:space="preserve">Professional Accuracy (%)</w:t>
      </w:r>
    </w:p>
    <w:p>
      <w:pPr>
        <w:pStyle w:val="BodyText"/>
      </w:pPr>
      <w:r>
        <w:t xml:space="preserve">Layperson Accuracy (%)</w:t>
      </w:r>
    </w:p>
    <w:p>
      <w:pPr>
        <w:pStyle w:val="BodyText"/>
      </w:pPr>
      <w:r>
        <w:t xml:space="preserve">Legal Proceedings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Linguistic Interoperability in Multicultural Environments</dc:title>
  <dc:creator/>
  <dc:language>en</dc:language>
  <cp:keywords/>
  <dcterms:created xsi:type="dcterms:W3CDTF">2026-07-29T09:26:15Z</dcterms:created>
  <dcterms:modified xsi:type="dcterms:W3CDTF">2026-07-29T09:26:15Z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