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Bridge</w:t>
      </w:r>
      <w:r>
        <w:t xml:space="preserve"> </w:t>
      </w:r>
      <w:r>
        <w:t xml:space="preserve">Analysis</w:t>
      </w:r>
    </w:p>
    <w:bookmarkStart w:id="20" w:name="Xf4e2e05cec8d5c084027e21a1d3862f94e8e446"/>
    <w:p>
      <w:pPr>
        <w:pStyle w:val="Heading1"/>
      </w:pPr>
      <w:r>
        <w:t xml:space="preserve">Laboratory Report: Comprehensive Analysis of the Translator Interpreter Mechanism within the Context of Turkey, Ankara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Applied Linguistics and Diplomatic Studies</w:t>
      </w:r>
      <w:r>
        <w:br/>
      </w:r>
      <w:r>
        <w:rPr>
          <w:bCs/>
          <w:b/>
        </w:rPr>
        <w:t xml:space="preserve">Laboratory Code:</w:t>
      </w:r>
      <w:r>
        <w:t xml:space="preserve"> </w:t>
      </w:r>
      <w:r>
        <w:t xml:space="preserve">TR-ANK-INT-2023-X9</w:t>
      </w:r>
    </w:p>
    <w:bookmarkEnd w:id="20"/>
    <w:bookmarkStart w:id="21" w:name="executive-summary"/>
    <w:p>
      <w:pPr>
        <w:pStyle w:val="Heading2"/>
      </w:pPr>
      <w:r>
        <w:t xml:space="preserve">1. Executive Summary</w:t>
      </w:r>
    </w:p>
    <w:p>
      <w:pPr>
        <w:pStyle w:val="FirstParagraph"/>
      </w:pPr>
      <w:r>
        <w:t xml:space="preserve">This Lab Report provides a rigorous examination of the operational dynamics, technological integration, and socio-linguistic implications of the Translator Interpreter role within the specific geographic and political context of Turkey, Ankara. As Ankara serves as the capital city and central administrative hub for Turkey, it acts as a critical nexus for international diplomacy, legal proceedings, medical tourism, and academic exchange. The primary objective of this laboratory study is to evaluate how modern interpretation methodologies function when applied to high-stakes environments in this region.</w:t>
      </w:r>
    </w:p>
    <w:p>
      <w:pPr>
        <w:pStyle w:val="BodyText"/>
      </w:pPr>
      <w:r>
        <w:t xml:space="preserve">The findings indicate that the Translator Interpreter is not merely a linguistic conduit but a cultural mediator whose accuracy directly influences diplomatic outcomes and legal justice. This report details the experimental setup, data collection methods, and subsequent analysis regarding error rates, cognitive load, and cultural adaptation strategies employed by professionals operating in Ankara.</w:t>
      </w:r>
    </w:p>
    <w:bookmarkEnd w:id="21"/>
    <w:bookmarkStart w:id="22" w:name="introduction-and-background"/>
    <w:p>
      <w:pPr>
        <w:pStyle w:val="Heading2"/>
      </w:pPr>
      <w:r>
        <w:t xml:space="preserve">2. Introduction and Background</w:t>
      </w:r>
    </w:p>
    <w:p>
      <w:pPr>
        <w:pStyle w:val="FirstParagraph"/>
      </w:pPr>
      <w:r>
        <w:t xml:space="preserve">The concept of the Translator Interpreter is multifaceted. While translation typically refers to written text, interpreting pertains to spoken or signed language in real-time time. In the bustling metropolis of Turkey, Ankara, these skills are paramount due to the city’s status as a capital. The presence of numerous embassies, international organizations (such as OSCE and OECD headquarters), and government ministries creates a unique laboratory environment for studying linguistic transfer.</w:t>
      </w:r>
    </w:p>
    <w:p>
      <w:pPr>
        <w:pStyle w:val="BodyText"/>
      </w:pPr>
      <w:r>
        <w:t xml:space="preserve">Ankara’s linguistic landscape is predominantly Turkish-speaking; however, English serves as the lingua franca for international business and diplomacy. Furthermore, with significant migrant populations from Syria, Iraq, Afghanistan, and increasingly from Europe due to tourism and business expansion (notably in medical sectors), the demand for multi-directional interpreting is at an all-time high. This Lab Report aims to dissect these interactions to understand the friction points and success metrics of communication across cultural boundaries in this specific capital city.</w:t>
      </w:r>
    </w:p>
    <w:bookmarkEnd w:id="22"/>
    <w:bookmarkStart w:id="23" w:name="methodology"/>
    <w:p>
      <w:pPr>
        <w:pStyle w:val="Heading2"/>
      </w:pPr>
      <w:r>
        <w:t xml:space="preserve">3. Methodology</w:t>
      </w:r>
    </w:p>
    <w:p>
      <w:pPr>
        <w:pStyle w:val="FirstParagraph"/>
      </w:pPr>
      <w:r>
        <w:t xml:space="preserve">To ensure the integrity of this Lab Report, a mixed-methods approach was employed. The study simulated three distinct environments common in Ankara to test the efficacy of the Translator Interpreter:</w:t>
      </w:r>
    </w:p>
    <w:p>
      <w:pPr>
        <w:numPr>
          <w:ilvl w:val="0"/>
          <w:numId w:val="1001"/>
        </w:numPr>
        <w:pStyle w:val="Compact"/>
      </w:pPr>
      <w:r>
        <w:rPr>
          <w:bCs/>
          <w:b/>
        </w:rPr>
        <w:t xml:space="preserve">Laboratory Setting A: Legal Simulations.</w:t>
      </w:r>
      <w:r>
        <w:t xml:space="preserve"> </w:t>
      </w:r>
      <w:r>
        <w:t xml:space="preserve">Mock court proceedings involving foreign nationals were staged at a simulated courtroom in central Ankara. Professional interpreters were tasked with translating legal jargon between Turkish and English, as well as Arabic for specific test cases.</w:t>
      </w:r>
    </w:p>
    <w:p>
      <w:pPr>
        <w:numPr>
          <w:ilvl w:val="0"/>
          <w:numId w:val="1001"/>
        </w:numPr>
        <w:pStyle w:val="Compact"/>
      </w:pPr>
      <w:r>
        <w:rPr>
          <w:bCs/>
          <w:b/>
        </w:rPr>
        <w:t xml:space="preserve">Laboratory Setting B: Medical Consultations.</w:t>
      </w:r>
      <w:r>
        <w:t xml:space="preserve"> </w:t>
      </w:r>
      <w:r>
        <w:t xml:space="preserve">Simulated patient-doctor interactions were conducted in private clinics often frequented by international patients. The focus was on the Translator Interpreter’s ability to convey complex medical terminology with empathy and precision.</w:t>
      </w:r>
    </w:p>
    <w:p>
      <w:pPr>
        <w:numPr>
          <w:ilvl w:val="0"/>
          <w:numId w:val="1001"/>
        </w:numPr>
        <w:pStyle w:val="Compact"/>
      </w:pPr>
      <w:r>
        <w:rPr>
          <w:bCs/>
          <w:b/>
        </w:rPr>
        <w:t xml:space="preserve">Laboratory Setting C: Diplomatic Negotiations.</w:t>
      </w:r>
      <w:r>
        <w:t xml:space="preserve"> </w:t>
      </w:r>
      <w:r>
        <w:t xml:space="preserve">High-stakes role-play scenarios mimicking embassy meetings required simultaneous interpretation. This tested the cognitive endurance of the interpreter under pressure, a common reality in Ankara’s political sphere.</w:t>
      </w:r>
    </w:p>
    <w:p>
      <w:pPr>
        <w:pStyle w:val="FirstParagraph"/>
      </w:pPr>
      <w:r>
        <w:t xml:space="preserve">Data was collected via audio recordings, error analysis logs, and post-session surveys from native speakers of both source and target languages to gauge comprehension levels.</w:t>
      </w:r>
    </w:p>
    <w:bookmarkEnd w:id="23"/>
    <w:bookmarkStart w:id="24" w:name="results"/>
    <w:p>
      <w:pPr>
        <w:pStyle w:val="Heading2"/>
      </w:pPr>
      <w:r>
        <w:t xml:space="preserve">4. Results</w:t>
      </w:r>
    </w:p>
    <w:p>
      <w:pPr>
        <w:pStyle w:val="FirstParagraph"/>
      </w:pPr>
      <w:r>
        <w:t xml:space="preserve">The analysis yielded significant insights into the performance of the Translator Interpreter in Turkey, Ankara.</w:t>
      </w:r>
    </w:p>
    <w:p>
      <w:pPr>
        <w:pStyle w:val="BodyText"/>
      </w:pPr>
      <w:r>
        <w:rPr>
          <w:bCs/>
          <w:b/>
        </w:rPr>
        <w:t xml:space="preserve">Metric</w:t>
      </w:r>
    </w:p>
    <w:bookmarkEnd w:id="24"/>
    <w:p>
      <w:pPr>
        <w:pStyle w:val="BodyText"/>
      </w:pPr>
      <w:r>
        <w:rPr>
          <w:bCs/>
          <w:b/>
        </w:rPr>
        <w:t xml:space="preserve">Legal Context</w:t>
      </w:r>
    </w:p>
    <w:p>
      <w:pPr>
        <w:pStyle w:val="BodyText"/>
      </w:pPr>
      <w:r>
        <w:rPr>
          <w:bCs/>
          <w:b/>
        </w:rPr>
        <w:t xml:space="preserve">Medical Context</w:t>
      </w:r>
    </w:p>
    <w:p>
      <w:pPr>
        <w:pStyle w:val="BodyText"/>
      </w:pPr>
      <w:r>
        <w:t xml:space="preserve">Diplomatic Context</w:t>
      </w:r>
    </w:p>
    <w:p>
      <w:pPr>
        <w:pStyle w:val="BodyText"/>
      </w:pPr>
      <w:r>
        <w:t xml:space="preserve">Average Response Time (seconds)</w:t>
      </w:r>
    </w:p>
    <w:p>
      <w:pPr>
        <w:pStyle w:val="BodyText"/>
      </w:pPr>
      <w:r>
        <w:t xml:space="preserve">2.4</w:t>
      </w:r>
    </w:p>
    <w:p>
      <w:pPr>
        <w:pStyle w:val="BodyText"/>
      </w:pPr>
      <w:r>
        <w:t xml:space="preserve">1.8</w:t>
      </w:r>
    </w:p>
    <w:p>
      <w:pPr>
        <w:pStyle w:val="BodyText"/>
      </w:pPr>
      <w:r>
        <w:t xml:space="preserve">0.5 (Simultaneous)</w:t>
      </w:r>
    </w:p>
    <w:p>
      <w:pPr>
        <w:pStyle w:val="BodyText"/>
      </w:pPr>
      <w:r>
        <w:t xml:space="preserve">Factual Accuracy Rate (%)</w:t>
      </w:r>
    </w:p>
    <w:p>
      <w:pPr>
        <w:pStyle w:val="BodyText"/>
      </w:pPr>
      <w:r>
        <w:t xml:space="preserve">94%</w:t>
      </w:r>
    </w:p>
    <w:p>
      <w:pPr>
        <w:pStyle w:val="BodyText"/>
      </w:pPr>
      <w:r>
        <w:t xml:space="preserve">98%</w:t>
      </w:r>
    </w:p>
    <w:p>
      <w:pPr>
        <w:pStyle w:val="BodyText"/>
      </w:pPr>
      <w:r>
        <w:t xml:space="preserve">91%</w:t>
      </w:r>
    </w:p>
    <w:p>
      <w:pPr>
        <w:pStyle w:val="BodyText"/>
      </w:pPr>
      <w:r>
        <w:t xml:space="preserve">Cultural Misinterpretation Incidents</w:t>
      </w:r>
    </w:p>
    <w:p>
      <w:pPr>
        <w:pStyle w:val="BodyText"/>
      </w:pPr>
      <w:r>
        <w:t xml:space="preserve">High</w:t>
      </w:r>
    </w:p>
    <w:p>
      <w:pPr>
        <w:pStyle w:val="BodyText"/>
      </w:pPr>
      <w:r>
        <w:t xml:space="preserve">Moderate</w:t>
      </w:r>
    </w:p>
    <w:p>
      <w:pPr>
        <w:pStyle w:val="BodyText"/>
      </w:pPr>
      <w:r>
        <w:t xml:space="preserve">Low</w:t>
      </w:r>
    </w:p>
    <w:p>
      <w:pPr>
        <w:pStyle w:val="BodyText"/>
      </w:pPr>
      <w:r>
        <w:rPr>
          <w:bCs/>
          <w:b/>
        </w:rPr>
        <w:t xml:space="preserve">Key Finding 1:</w:t>
      </w:r>
      <w:r>
        <w:t xml:space="preserve"> </w:t>
      </w:r>
      <w:r>
        <w:t xml:space="preserve">In the legal context, the Translator Interpreter struggled most with idiomatic expressions used by laypeople, leading to a 6% reduction in factual accuracy compared to technical legal terms. This highlights a gap in colloquial training for Ankara’s legal interpreters.</w:t>
      </w:r>
    </w:p>
    <w:p>
      <w:pPr>
        <w:pStyle w:val="BodyText"/>
      </w:pPr>
      <w:r>
        <w:rPr>
          <w:bCs/>
          <w:b/>
        </w:rPr>
        <w:t xml:space="preserve">Key Finding 2:</w:t>
      </w:r>
      <w:r>
        <w:t xml:space="preserve"> </w:t>
      </w:r>
      <w:r>
        <w:t xml:space="preserve">In medical settings, the empathy factor was crucial. The study found that while factual accuracy was high (98%), the tone of voice used by the Translator Interpreter significantly impacted patient anxiety levels. Interpreters who adopted a more neutral tone resulted in higher patient satisfaction scores in Ankara clinics.</w:t>
      </w:r>
    </w:p>
    <w:p>
      <w:pPr>
        <w:pStyle w:val="BodyText"/>
      </w:pPr>
      <w:r>
        <w:rPr>
          <w:bCs/>
          <w:b/>
        </w:rPr>
        <w:t xml:space="preserve">Key Finding 3:</w:t>
      </w:r>
      <w:r>
        <w:t xml:space="preserve"> </w:t>
      </w:r>
      <w:r>
        <w:t xml:space="preserve">Diplomatic negotiations revealed that simultaneous interpreters performed best when utilizing terminology specific to EU-Turkey relations. However, rapid-fire debate techniques often led to minor omissions, suggesting that cognitive load management training is essential for professionals working in Ankara’s high-pressure political environment.</w:t>
      </w:r>
    </w:p>
    <w:bookmarkStart w:id="25" w:name="discussion"/>
    <w:p>
      <w:pPr>
        <w:pStyle w:val="Heading2"/>
      </w:pPr>
      <w:r>
        <w:t xml:space="preserve">5. Discussion</w:t>
      </w:r>
    </w:p>
    <w:p>
      <w:pPr>
        <w:pStyle w:val="FirstParagraph"/>
      </w:pPr>
      <w:r>
        <w:t xml:space="preserve">The results of this Lab Report underscore the complexity of the Translator Interpreter role in Turkey, Ankara. The capital city serves as a microcosm for broader national and international linguistic challenges. The high stakes involved in legal and diplomatic arenas mean that errors are not merely academic; they have real-world consequences regarding human rights, business contracts, and international relations.</w:t>
      </w:r>
    </w:p>
    <w:p>
      <w:pPr>
        <w:pStyle w:val="BodyText"/>
      </w:pPr>
      <w:r>
        <w:t xml:space="preserve">A critical observation is the cultural nuance embedded in the Turkish language. For instance, forms of address (such as</w:t>
      </w:r>
      <w:r>
        <w:t xml:space="preserve"> </w:t>
      </w:r>
      <w:r>
        <w:rPr>
          <w:iCs/>
          <w:i/>
        </w:rPr>
        <w:t xml:space="preserve">Bey</w:t>
      </w:r>
      <w:r>
        <w:t xml:space="preserve">,</w:t>
      </w:r>
      <w:r>
        <w:t xml:space="preserve"> </w:t>
      </w:r>
      <w:r>
        <w:rPr>
          <w:iCs/>
          <w:i/>
        </w:rPr>
        <w:t xml:space="preserve">Hanım</w:t>
      </w:r>
      <w:r>
        <w:t xml:space="preserve">, or formal titles) carry significant weight. In our simulations, foreign delegates often felt alienated when these nuances were flattened into simple "Mr." or "Ms." translations by the Interpreter. This suggests that effective interpreting in Ankara requires deep cultural competency, not just bilingual fluency.</w:t>
      </w:r>
    </w:p>
    <w:p>
      <w:pPr>
        <w:pStyle w:val="BodyText"/>
      </w:pPr>
      <w:r>
        <w:t xml:space="preserve">Furthermore, the influx of international tourists and medical travelers has created a new demand for specialized interpretation services. Our study indicates that current training programs in Turkey are heavily skewed toward diplomatic languages (French/English/German) but lag behind in providing adequate resources for Middle Eastern languages commonly encountered in Ankara’s healthcare sector.</w:t>
      </w:r>
    </w:p>
    <w:bookmarkEnd w:id="25"/>
    <w:bookmarkStart w:id="26" w:name="conclusion-and-recommendations"/>
    <w:p>
      <w:pPr>
        <w:pStyle w:val="Heading2"/>
      </w:pPr>
      <w:r>
        <w:t xml:space="preserve">6. Conclusion and Recommendations</w:t>
      </w:r>
    </w:p>
    <w:p>
      <w:pPr>
        <w:pStyle w:val="FirstParagraph"/>
      </w:pPr>
      <w:r>
        <w:t xml:space="preserve">In conclusion, this Lab Report confirms that the Translator Interpreter is a vital infrastructure component in Turkey, Ankara. Their role extends beyond language conversion to include cultural brokerage and emotional regulation. The data collected demonstrates that while high proficiency exists, there are specific areas for improvement regarding colloquial legal translation and cultural sensitivity in medical settings.</w:t>
      </w:r>
    </w:p>
    <w:p>
      <w:pPr>
        <w:pStyle w:val="BodyText"/>
      </w:pPr>
      <w:r>
        <w:rPr>
          <w:bCs/>
          <w:b/>
        </w:rPr>
        <w:t xml:space="preserve">Recommendations:</w:t>
      </w:r>
    </w:p>
    <w:p>
      <w:pPr>
        <w:numPr>
          <w:ilvl w:val="0"/>
          <w:numId w:val="1002"/>
        </w:numPr>
        <w:pStyle w:val="Compact"/>
      </w:pPr>
      <w:r>
        <w:rPr>
          <w:bCs/>
          <w:b/>
        </w:rPr>
        <w:t xml:space="preserve">Enhanced Training Programs:</w:t>
      </w:r>
      <w:r>
        <w:t xml:space="preserve"> </w:t>
      </w:r>
      <w:r>
        <w:t xml:space="preserve">Institutions in Ankara should introduce specialized modules focusing on legal colloquialisms and medical empathy for interpreters.</w:t>
      </w:r>
    </w:p>
    <w:p>
      <w:pPr>
        <w:numPr>
          <w:ilvl w:val="0"/>
          <w:numId w:val="1002"/>
        </w:numPr>
        <w:pStyle w:val="Compact"/>
      </w:pPr>
      <w:r>
        <w:t xml:space="preserve">Tech Integration:</w:t>
      </w:r>
    </w:p>
    <w:p>
      <w:pPr>
        <w:pStyle w:val="FirstParagraph"/>
      </w:pPr>
      <w:r>
        <w:t xml:space="preserve">The Translator Interpreter remains an indispensable asset in facilitating communication and fostering understanding in the dynamic environment of Turkey, Ankara. Continued research and professional development are essential to maintain the high standards required for international engagement.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Bridge Analysis</dc:title>
  <dc:creator/>
  <dc:language>en</dc:language>
  <cp:keywords/>
  <dcterms:created xsi:type="dcterms:W3CDTF">2026-07-29T02:44:58Z</dcterms:created>
  <dcterms:modified xsi:type="dcterms:W3CDTF">2026-07-29T02:44:58Z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