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Australia,</w:t>
      </w:r>
      <w:r>
        <w:t xml:space="preserve"> </w:t>
      </w:r>
      <w:r>
        <w:t xml:space="preserve">Melbourne</w:t>
      </w:r>
    </w:p>
    <w:bookmarkStart w:id="33" w:name="X0753bd2d79d3d827cd30b299c791d9fce154706"/>
    <w:p>
      <w:pPr>
        <w:pStyle w:val="Heading1"/>
      </w:pPr>
      <w:r>
        <w:t xml:space="preserve">Laboratory Report on the Institutional Function of the University Lecturer in Australia, Melbourne</w:t>
      </w:r>
    </w:p>
    <w:bookmarkStart w:id="20" w:name="abstract"/>
    <w:p>
      <w:pPr>
        <w:pStyle w:val="Heading2"/>
      </w:pPr>
      <w:r>
        <w:t xml:space="preserve">Abstract</w:t>
      </w:r>
    </w:p>
    <w:p>
      <w:pPr>
        <w:pStyle w:val="FirstParagraph"/>
      </w:pPr>
      <w:r>
        <w:t xml:space="preserve">This document serves as a comprehensive analysis and operational guide regarding the role of a University Lecturer within higher education institutions situated in Australia, specifically within the metropolitan hub of Melbourne. The report aims to deconstruct the multifaceted responsibilities, regulatory frameworks, cultural expectations, and strategic objectives associated with this academic position. By examining the intersection of pedagogical duties, research imperatives, and community engagement unique to Melbourne’s dynamic educational landscape—home to globally renowned institutions such as the University of Melbourne and Monash University—we provide a structured overview for prospective academics. This report emphasizes that while the title "University Lecturer" remains constant in nomenclature across borders, its practical application in Australia, particularly in Melbourne, requires adherence to specific national standards and local cultural nuances.</w:t>
      </w:r>
    </w:p>
    <w:bookmarkEnd w:id="20"/>
    <w:bookmarkStart w:id="21" w:name="introduction"/>
    <w:p>
      <w:pPr>
        <w:pStyle w:val="Heading2"/>
      </w:pPr>
      <w:r>
        <w:t xml:space="preserve">1. Introduction</w:t>
      </w:r>
    </w:p>
    <w:p>
      <w:pPr>
        <w:pStyle w:val="FirstParagraph"/>
      </w:pPr>
      <w:r>
        <w:t xml:space="preserve">The tertiary education sector is a cornerstone of Australia’s economy and social infrastructure, with Victoria, and specifically Melbourne, serving as the country’s educational capital. The position of a University Lecturer in this context is not merely an instructional role but a complex professional identity that balances teaching excellence with significant research output. In Australia, academic staff are governed by strict industrial agreements defined by the Fair Work Commission and specific enterprise bargaining agreements unique to each institution.</w:t>
      </w:r>
    </w:p>
    <w:p>
      <w:pPr>
        <w:pStyle w:val="BodyText"/>
      </w:pPr>
      <w:r>
        <w:t xml:space="preserve">Melbourne presents a distinct environment for lecturers due to its high concentration of international students, diverse demographic makeup, and competitive global ranking pressures. This report investigates these dynamics, highlighting how a University Lecturer in Australia must navigate the "Triple Bottom Line" of academia: teaching (pedagogy), research (scholarship), and service (governance). The following sections detail the operational requirements for success in this demanding yet rewarding field.</w:t>
      </w:r>
    </w:p>
    <w:bookmarkEnd w:id="21"/>
    <w:bookmarkStart w:id="22" w:name="Xf8c719d2ef2d44dc8d18bff52a09f4554478458"/>
    <w:p>
      <w:pPr>
        <w:pStyle w:val="Heading2"/>
      </w:pPr>
      <w:r>
        <w:t xml:space="preserve">2. Regulatory Frameworks and Professional Standards</w:t>
      </w:r>
    </w:p>
    <w:p>
      <w:pPr>
        <w:pStyle w:val="FirstParagraph"/>
      </w:pPr>
      <w:r>
        <w:t xml:space="preserve">To practice as a University Lecturer in Australia, one must comply with national standards set by the Tertiary Education Quality and Standards Agency (TEQSA). In Melbourne, where institutions are densely packed and highly regulated, compliance is non-negotiable. The role requires strict adherence to the Academic Board’s policies regarding curriculum design, assessment integrity, and student welfare.</w:t>
      </w:r>
    </w:p>
    <w:p>
      <w:pPr>
        <w:numPr>
          <w:ilvl w:val="0"/>
          <w:numId w:val="1001"/>
        </w:numPr>
        <w:pStyle w:val="Compact"/>
      </w:pPr>
      <w:r>
        <w:rPr>
          <w:bCs/>
          <w:b/>
        </w:rPr>
        <w:t xml:space="preserve">Australian Qualifications Framework (AQF):</w:t>
      </w:r>
      <w:r>
        <w:t xml:space="preserve"> </w:t>
      </w:r>
      <w:r>
        <w:t xml:space="preserve">Lecturers must ensure that all course materials align with AQF levels, ensuring credit transferability and national recognition of degrees awarded in Melbourne.</w:t>
      </w:r>
    </w:p>
    <w:p>
      <w:pPr>
        <w:numPr>
          <w:ilvl w:val="0"/>
          <w:numId w:val="1001"/>
        </w:numPr>
        <w:pStyle w:val="Compact"/>
      </w:pPr>
      <w:r>
        <w:rPr>
          <w:bCs/>
          <w:b/>
        </w:rPr>
        <w:t xml:space="preserve">Fair Work Regulations:</w:t>
      </w:r>
      <w:r>
        <w:t xml:space="preserve"> </w:t>
      </w:r>
      <w:r>
        <w:t xml:space="preserve">Employment contracts in Australia, including those for University Lecturers, are heavily regulated. Issues such as casualization vs. permanent employment, superannuation contributions (a critical component of Australian retirement savings), and reasonable hours are central to the lecturer’s experience.</w:t>
      </w:r>
    </w:p>
    <w:p>
      <w:pPr>
        <w:numPr>
          <w:ilvl w:val="0"/>
          <w:numId w:val="1001"/>
        </w:numPr>
        <w:pStyle w:val="Compact"/>
      </w:pPr>
      <w:r>
        <w:rPr>
          <w:bCs/>
          <w:b/>
        </w:rPr>
        <w:t xml:space="preserve">Cultural Competency:</w:t>
      </w:r>
      <w:r>
        <w:t xml:space="preserve"> </w:t>
      </w:r>
      <w:r>
        <w:t xml:space="preserve">Given Melbourne’s multicultural fabric, lecturers are expected to engage in cultural competency training. This includes understanding the needs of Indigenous Australian students (First Nations peoples) and adapting teaching methods for a globally diverse cohort.</w:t>
      </w:r>
    </w:p>
    <w:bookmarkEnd w:id="22"/>
    <w:bookmarkStart w:id="26" w:name="Xd5ca1d369a7e6eeba606227399321bdbd2d529a"/>
    <w:p>
      <w:pPr>
        <w:pStyle w:val="Heading2"/>
      </w:pPr>
      <w:r>
        <w:t xml:space="preserve">3. Pedagogical Responsibilities: The Teaching Load</w:t>
      </w:r>
    </w:p>
    <w:p>
      <w:pPr>
        <w:pStyle w:val="FirstParagraph"/>
      </w:pPr>
      <w:r>
        <w:t xml:space="preserve">The primary visible function of a University Lecturer is education delivery. However, in Melbourne’s universities, the definition of "teaching" has evolved significantly. It is no longer sufficient to simply deliver content; lecturers must facilitate active learning and digital integration.</w:t>
      </w:r>
    </w:p>
    <w:bookmarkStart w:id="23" w:name="course-design-and-delivery"/>
    <w:p>
      <w:pPr>
        <w:pStyle w:val="Heading3"/>
      </w:pPr>
      <w:r>
        <w:t xml:space="preserve">3.1 Course Design and Delivery</w:t>
      </w:r>
    </w:p>
    <w:p>
      <w:pPr>
        <w:pStyle w:val="FirstParagraph"/>
      </w:pPr>
      <w:r>
        <w:t xml:space="preserve">Lecturers are responsible for designing syllabi that meet industry standards prevalent in the Australian market, particularly in sectors such as finance, engineering, healthcare, and technology, which are strong in Melbourne. This involves regular consultation with industry advisory panels to ensure curriculum relevance.</w:t>
      </w:r>
    </w:p>
    <w:bookmarkEnd w:id="23"/>
    <w:bookmarkStart w:id="24" w:name="assessment-strategies"/>
    <w:p>
      <w:pPr>
        <w:pStyle w:val="Heading3"/>
      </w:pPr>
      <w:r>
        <w:t xml:space="preserve">3.2 Assessment Strategies</w:t>
      </w:r>
    </w:p>
    <w:p>
      <w:pPr>
        <w:pStyle w:val="FirstParagraph"/>
      </w:pPr>
      <w:r>
        <w:t xml:space="preserve">Evaluating student performance requires rigorous adherence to academic integrity protocols. In the post-pandemic era, University Lecturers in Australia have had to adapt assessment methods to include robust monitoring of online examinations while maintaining fairness for students with varying levels of digital access.</w:t>
      </w:r>
    </w:p>
    <w:bookmarkEnd w:id="24"/>
    <w:bookmarkStart w:id="25" w:name="student-support"/>
    <w:p>
      <w:pPr>
        <w:pStyle w:val="Heading3"/>
      </w:pPr>
      <w:r>
        <w:t xml:space="preserve">3.3 Student Support</w:t>
      </w:r>
    </w:p>
    <w:p>
      <w:pPr>
        <w:pStyle w:val="FirstParagraph"/>
      </w:pPr>
      <w:r>
        <w:t xml:space="preserve">Melbourne universities place a high premium on student retention and satisfaction. Lecturers act as mentors, often requiring extended office hours (tutorials) to support students from non-traditional backgrounds or those facing socioeconomic challenges.</w:t>
      </w:r>
    </w:p>
    <w:bookmarkEnd w:id="25"/>
    <w:bookmarkEnd w:id="26"/>
    <w:bookmarkStart w:id="27" w:name="X7ef147d9ce58e2c9044e091f98b97e35e6978f1"/>
    <w:p>
      <w:pPr>
        <w:pStyle w:val="Heading2"/>
      </w:pPr>
      <w:r>
        <w:t xml:space="preserve">4. Research and Scholarship: The Publication Imperative</w:t>
      </w:r>
    </w:p>
    <w:p>
      <w:pPr>
        <w:pStyle w:val="FirstParagraph"/>
      </w:pPr>
      <w:r>
        <w:t xml:space="preserve">In the Australian university system, particularly in Group of Eight (Go8) institutions located in Melbourne, research output is a critical determinant of career progression from Lecturer to Senior Lecturer. The role demands a continuous stream of high-impact publications.</w:t>
      </w:r>
    </w:p>
    <w:p>
      <w:pPr>
        <w:numPr>
          <w:ilvl w:val="0"/>
          <w:numId w:val="1002"/>
        </w:numPr>
        <w:pStyle w:val="Compact"/>
      </w:pPr>
      <w:r>
        <w:rPr>
          <w:bCs/>
          <w:b/>
        </w:rPr>
        <w:t xml:space="preserve">Grant Acquisition:</w:t>
      </w:r>
      <w:r>
        <w:t xml:space="preserve"> </w:t>
      </w:r>
      <w:r>
        <w:t xml:space="preserve">A significant portion of time is dedicated to writing grant proposals for bodies such as the Australian Research Council (ARC). Success in securing funding is often linked to job security and institutional prestige.</w:t>
      </w:r>
    </w:p>
    <w:p>
      <w:pPr>
        <w:numPr>
          <w:ilvl w:val="0"/>
          <w:numId w:val="1002"/>
        </w:numPr>
        <w:pStyle w:val="Compact"/>
      </w:pPr>
      <w:r>
        <w:rPr>
          <w:bCs/>
          <w:b/>
        </w:rPr>
        <w:t xml:space="preserve">Publishing in Top Journals:</w:t>
      </w:r>
      <w:r>
        <w:t xml:space="preserve"> </w:t>
      </w:r>
      <w:r>
        <w:t xml:space="preserve">Lecturers are expected to publish in peer-reviewed journals indexed by international databases. The pressure to produce "high-quality" research can be intense, influencing workload management strategies.</w:t>
      </w:r>
    </w:p>
    <w:p>
      <w:pPr>
        <w:numPr>
          <w:ilvl w:val="0"/>
          <w:numId w:val="1002"/>
        </w:numPr>
        <w:pStyle w:val="Compact"/>
      </w:pPr>
      <w:r>
        <w:rPr>
          <w:bCs/>
          <w:b/>
        </w:rPr>
        <w:t xml:space="preserve">Collaboration:</w:t>
      </w:r>
      <w:r>
        <w:t xml:space="preserve"> </w:t>
      </w:r>
      <w:r>
        <w:t xml:space="preserve">Networking with other University Lecturers within Australia and globally is essential. Melbourne’s proximity to Asian markets often encourages cross-border collaborative research projects.</w:t>
      </w:r>
    </w:p>
    <w:bookmarkEnd w:id="27"/>
    <w:bookmarkStart w:id="30" w:name="administrative-service-and-governance"/>
    <w:p>
      <w:pPr>
        <w:pStyle w:val="Heading2"/>
      </w:pPr>
      <w:r>
        <w:t xml:space="preserve">5. Administrative Service and Governance</w:t>
      </w:r>
    </w:p>
    <w:p>
      <w:pPr>
        <w:pStyle w:val="FirstParagraph"/>
      </w:pPr>
      <w:r>
        <w:t xml:space="preserve">Beyond teaching and research, a University Lecturer in Melbourne is expected to contribute to the governance of the institution. This includes serving on faculty boards, curriculum committees, and equity panels.</w:t>
      </w:r>
    </w:p>
    <w:bookmarkStart w:id="28" w:name="indigenous-engagement"/>
    <w:p>
      <w:pPr>
        <w:pStyle w:val="Heading3"/>
      </w:pPr>
      <w:r>
        <w:t xml:space="preserve">5.1 Indigenous Engagement</w:t>
      </w:r>
    </w:p>
    <w:p>
      <w:pPr>
        <w:pStyle w:val="FirstParagraph"/>
      </w:pPr>
      <w:r>
        <w:t xml:space="preserve">A specific mandate in Australia is the support of Indigenous education outcomes. Lecturers are often required to incorporate Indigenous knowledge perspectives into their curricula where appropriate and participate in initiatives aimed at increasing First Nations enrollment and success rates.</w:t>
      </w:r>
    </w:p>
    <w:bookmarkEnd w:id="28"/>
    <w:bookmarkStart w:id="29" w:name="international-student-relations"/>
    <w:p>
      <w:pPr>
        <w:pStyle w:val="Heading3"/>
      </w:pPr>
      <w:r>
        <w:t xml:space="preserve">5.2 International Student Relations</w:t>
      </w:r>
    </w:p>
    <w:p>
      <w:pPr>
        <w:pStyle w:val="FirstParagraph"/>
      </w:pPr>
      <w:r>
        <w:t xml:space="preserve">Melbourne is a global hub for international education. University Lecturers must be adept at supporting students from overseas, understanding visa compliance issues, and fostering an inclusive campus culture that welcomes international scholars.</w:t>
      </w:r>
    </w:p>
    <w:bookmarkEnd w:id="29"/>
    <w:bookmarkEnd w:id="30"/>
    <w:bookmarkStart w:id="31" w:name="challenges-and-future-outlook"/>
    <w:p>
      <w:pPr>
        <w:pStyle w:val="Heading2"/>
      </w:pPr>
      <w:r>
        <w:t xml:space="preserve">6. Challenges and Future Outlook</w:t>
      </w:r>
    </w:p>
    <w:p>
      <w:pPr>
        <w:pStyle w:val="FirstParagraph"/>
      </w:pPr>
      <w:r>
        <w:t xml:space="preserve">The role of the University Lecturer in Australia is currently undergoing transformation. Key challenges include:</w:t>
      </w:r>
    </w:p>
    <w:p>
      <w:pPr>
        <w:numPr>
          <w:ilvl w:val="0"/>
          <w:numId w:val="1003"/>
        </w:numPr>
        <w:pStyle w:val="Compact"/>
      </w:pPr>
      <w:r>
        <w:rPr>
          <w:bCs/>
          <w:b/>
        </w:rPr>
        <w:t xml:space="preserve">Budget Cuts:</w:t>
      </w:r>
      <w:r>
        <w:t xml:space="preserve"> </w:t>
      </w:r>
      <w:r>
        <w:t xml:space="preserve">Government funding reductions have led to larger class sizes and increased workloads, impacting the ability of lecturers to provide personalized feedback.</w:t>
      </w:r>
    </w:p>
    <w:p>
      <w:pPr>
        <w:numPr>
          <w:ilvl w:val="0"/>
          <w:numId w:val="1003"/>
        </w:numPr>
        <w:pStyle w:val="Compact"/>
      </w:pPr>
      <w:r>
        <w:rPr>
          <w:bCs/>
          <w:b/>
        </w:rPr>
        <w:t xml:space="preserve">Digital Transformation:</w:t>
      </w:r>
      <w:r>
        <w:t xml:space="preserve">The rapid adoption of AI and online learning tools requires continuous upskilling for academics.</w:t>
      </w:r>
    </w:p>
    <w:p>
      <w:pPr>
        <w:numPr>
          <w:ilvl w:val="0"/>
          <w:numId w:val="1003"/>
        </w:numPr>
        <w:pStyle w:val="Compact"/>
      </w:pPr>
      <w:r>
        <w:rPr>
          <w:bCs/>
          <w:b/>
        </w:rPr>
        <w:t xml:space="preserve">Mental Health:</w:t>
      </w:r>
      <w:r>
        <w:t xml:space="preserve">The pressure to balance high research output with demanding teaching loads has raised concerns about academic mental health, prompting institutions in Melbourne to introduce well-being initiatives.</w:t>
      </w:r>
    </w:p>
    <w:p>
      <w:pPr>
        <w:pStyle w:val="FirstParagraph"/>
      </w:pPr>
      <w:r>
        <w:t xml:space="preserve">Despite these challenges, the role remains prestigious and intellectually stimulating. The opportunity to shape the next generation of leaders in one of the world’s most liveable cities offers significant professional satisfaction.</w:t>
      </w:r>
    </w:p>
    <w:bookmarkEnd w:id="31"/>
    <w:bookmarkStart w:id="32" w:name="conclusion"/>
    <w:p>
      <w:pPr>
        <w:pStyle w:val="Heading2"/>
      </w:pPr>
      <w:r>
        <w:t xml:space="preserve">7. Conclusion</w:t>
      </w:r>
    </w:p>
    <w:p>
      <w:pPr>
        <w:pStyle w:val="FirstParagraph"/>
      </w:pPr>
      <w:r>
        <w:t xml:space="preserve">In summary, the position of a University Lecturer in Australia, specifically within Melbourne, is a complex and demanding profession that requires a delicate balance of pedagogical expertise, research excellence, and administrative diligence. Success in this role necessitates not only academic qualifications but also an understanding of the Australian industrial landscape and cultural diversity. As Melbourne continues to solidify its reputation as a global education center, the University Lecturer remains pivotal in maintaining quality standards and fostering innovation. Prospective candidates must prepare themselves for a rigorous career path characterized by high expectations but offering immense opportunities for professional growth and societal impact.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University Lecturer Role in Australia, Melbourne</dc:title>
  <dc:creator/>
  <dc:language>en</dc:language>
  <cp:keywords/>
  <dcterms:created xsi:type="dcterms:W3CDTF">2026-07-29T18:18:37Z</dcterms:created>
  <dcterms:modified xsi:type="dcterms:W3CDTF">2026-07-29T18:18:37Z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