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Evaluation</w:t>
      </w:r>
      <w:r>
        <w:t xml:space="preserve"> </w:t>
      </w:r>
      <w:r>
        <w:t xml:space="preserve">of</w:t>
      </w:r>
      <w:r>
        <w:t xml:space="preserve"> </w:t>
      </w:r>
      <w:r>
        <w:t xml:space="preserve">University</w:t>
      </w:r>
      <w:r>
        <w:t xml:space="preserve"> </w:t>
      </w:r>
      <w:r>
        <w:t xml:space="preserve">Lecturer</w:t>
      </w:r>
      <w:r>
        <w:t xml:space="preserve"> </w:t>
      </w:r>
      <w:r>
        <w:t xml:space="preserve">Performance</w:t>
      </w:r>
      <w:r>
        <w:t xml:space="preserve"> </w:t>
      </w:r>
      <w:r>
        <w:t xml:space="preserve">in</w:t>
      </w:r>
      <w:r>
        <w:t xml:space="preserve"> </w:t>
      </w:r>
      <w:r>
        <w:t xml:space="preserve">Germany</w:t>
      </w:r>
      <w:r>
        <w:t xml:space="preserve"> </w:t>
      </w:r>
      <w:r>
        <w:t xml:space="preserve">Berlin</w:t>
      </w:r>
    </w:p>
    <w:bookmarkStart w:id="32" w:name="X413cfb71777b46d341733ac4c237e50c89b955b"/>
    <w:p>
      <w:pPr>
        <w:pStyle w:val="Heading1"/>
      </w:pPr>
      <w:r>
        <w:t xml:space="preserve">Laboratory Report: Comprehensive Evaluation of University Lecturer Roles and Regulatory Frameworks in Germany Berlin</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Department of Higher Education Research</w:t>
      </w:r>
      <w:r>
        <w:br/>
      </w:r>
      <w:r>
        <w:rPr>
          <w:bCs/>
          <w:b/>
        </w:rPr>
        <w:t xml:space="preserve">From:</w:t>
      </w:r>
    </w:p>
    <w:bookmarkStart w:id="20" w:name="executive-summary"/>
    <w:p>
      <w:pPr>
        <w:pStyle w:val="Heading2"/>
      </w:pPr>
      <w:r>
        <w:t xml:space="preserve">1. Executive Summary</w:t>
      </w:r>
    </w:p>
    <w:p>
      <w:pPr>
        <w:pStyle w:val="FirstParagraph"/>
      </w:pPr>
      <w:r>
        <w:t xml:space="preserve">The primary objective of this laboratory report is to analyze the multifaceted role of a</w:t>
      </w:r>
      <w:r>
        <w:t xml:space="preserve"> </w:t>
      </w:r>
      <w:r>
        <w:rPr>
          <w:bCs/>
          <w:b/>
        </w:rPr>
        <w:t xml:space="preserve">University Lecturer</w:t>
      </w:r>
      <w:r>
        <w:t xml:space="preserve">, specifically within the academic and administrative context of</w:t>
      </w:r>
      <w:r>
        <w:t xml:space="preserve"> </w:t>
      </w:r>
      <w:r>
        <w:rPr>
          <w:bCs/>
          <w:b/>
        </w:rPr>
        <w:t xml:space="preserve">Germany Berlin</w:t>
      </w:r>
      <w:r>
        <w:t xml:space="preserve">. As a global hub for science, technology, and humanities research, Berlin represents a unique ecosystem where academic rigor intersects with intense international competition. This document serves as an empirical review of the duties, qualifications, regulatory constraints (such as those imposed by the German Higher Education Framework Act), and cultural expectations associated with lecturing in this specific metropolitan environment. The findings indicate that a successful</w:t>
      </w:r>
      <w:r>
        <w:t xml:space="preserve"> </w:t>
      </w:r>
      <w:r>
        <w:rPr>
          <w:bCs/>
          <w:b/>
        </w:rPr>
        <w:t xml:space="preserve">University Lecturer</w:t>
      </w:r>
      <w:r>
        <w:t xml:space="preserve"> </w:t>
      </w:r>
      <w:r>
        <w:t xml:space="preserve">in Berlin must possess not only subject-matter expertise but also significant adaptability to bureaucratic processes and a commitment to internationalization.</w:t>
      </w:r>
    </w:p>
    <w:bookmarkEnd w:id="20"/>
    <w:bookmarkStart w:id="21" w:name="introduction"/>
    <w:p>
      <w:pPr>
        <w:pStyle w:val="Heading2"/>
      </w:pPr>
      <w:r>
        <w:t xml:space="preserve">2. Introduction</w:t>
      </w:r>
    </w:p>
    <w:p>
      <w:pPr>
        <w:pStyle w:val="FirstParagraph"/>
      </w:pPr>
      <w:r>
        <w:t xml:space="preserve">In recent years, the demand for higher education professionals in Europe has surged, with Berlin emerging as a critical node for academic innovation. The role of the</w:t>
      </w:r>
      <w:r>
        <w:t xml:space="preserve"> </w:t>
      </w:r>
      <w:r>
        <w:rPr>
          <w:bCs/>
          <w:b/>
        </w:rPr>
        <w:t xml:space="preserve">University Lecturer</w:t>
      </w:r>
      <w:r>
        <w:t xml:space="preserve"> </w:t>
      </w:r>
      <w:r>
        <w:t xml:space="preserve">is no longer confined to traditional teaching methods; it now encompasses research leadership, grant acquisition, and international collaboration. This report aims to dissect these responsibilities through a structured analytical lens. By focusing on</w:t>
      </w:r>
      <w:r>
        <w:t xml:space="preserve"> </w:t>
      </w:r>
      <w:r>
        <w:rPr>
          <w:bCs/>
          <w:b/>
        </w:rPr>
        <w:t xml:space="preserve">Germany Berlin</w:t>
      </w:r>
      <w:r>
        <w:t xml:space="preserve">, we can isolate specific regional factors that influence academic performance, such as funding structures provided by the Berlin Senate and the diverse linguistic landscape of student populations.</w:t>
      </w:r>
    </w:p>
    <w:bookmarkEnd w:id="21"/>
    <w:bookmarkStart w:id="22" w:name="methodology"/>
    <w:p>
      <w:pPr>
        <w:pStyle w:val="Heading2"/>
      </w:pPr>
      <w:r>
        <w:t xml:space="preserve">3. Methodology</w:t>
      </w:r>
    </w:p>
    <w:p>
      <w:pPr>
        <w:pStyle w:val="FirstParagraph"/>
      </w:pPr>
      <w:r>
        <w:t xml:space="preserve">The data for this report was synthesized from three primary sources: official job descriptions published by major institutions in</w:t>
      </w:r>
      <w:r>
        <w:t xml:space="preserve"> </w:t>
      </w:r>
      <w:r>
        <w:rPr>
          <w:bCs/>
          <w:b/>
        </w:rPr>
        <w:t xml:space="preserve">Germany Berlin</w:t>
      </w:r>
      <w:r>
        <w:t xml:space="preserve">, such as Humboldt University, Free University of Berlin, and Technical University of Berlin; comparative analyses with other European academic systems; and interviews conducted with current academic staff. The analysis follows a standard laboratory report structure, moving from qualitative assessment of job duties to quantitative evaluation of required qualifications.</w:t>
      </w:r>
    </w:p>
    <w:bookmarkEnd w:id="22"/>
    <w:bookmarkStart w:id="26" w:name="X5a8aebb92c57926663b0cb1352aaf458d1f831a"/>
    <w:p>
      <w:pPr>
        <w:pStyle w:val="Heading2"/>
      </w:pPr>
      <w:r>
        <w:t xml:space="preserve">4. Analysis: The Role of the University Lecturer</w:t>
      </w:r>
    </w:p>
    <w:bookmarkStart w:id="23" w:name="teaching-responsibilities-in-berlin"/>
    <w:p>
      <w:pPr>
        <w:pStyle w:val="Heading3"/>
      </w:pPr>
      <w:r>
        <w:t xml:space="preserve">4.1 Teaching Responsibilities in Berlin</w:t>
      </w:r>
    </w:p>
    <w:p>
      <w:pPr>
        <w:pStyle w:val="FirstParagraph"/>
      </w:pPr>
      <w:r>
        <w:t xml:space="preserve">In the context of a</w:t>
      </w:r>
      <w:r>
        <w:t xml:space="preserve"> </w:t>
      </w:r>
      <w:r>
        <w:rPr>
          <w:bCs/>
          <w:b/>
        </w:rPr>
        <w:t xml:space="preserve">University Lecturer</w:t>
      </w:r>
      <w:r>
        <w:t xml:space="preserve">, teaching remains the cornerstone of employment contracts, particularly for those on tenure-track positions in Berlin. However, unlike systems in the United States or United Kingdom, German universities often emphasize a more structured approach to curriculum delivery. In</w:t>
      </w:r>
      <w:r>
        <w:t xml:space="preserve"> </w:t>
      </w:r>
      <w:r>
        <w:rPr>
          <w:bCs/>
          <w:b/>
        </w:rPr>
        <w:t xml:space="preserve">Germany Berlin</w:t>
      </w:r>
      <w:r>
        <w:t xml:space="preserve">, lectures are typically conducted in German for undergraduate programs focused on local law or history, whereas Master’s and PhD programs increasingly mandate English proficiency due to the high concentration of international students. Therefore, bilingual capability is often a de facto requirement for a modern</w:t>
      </w:r>
      <w:r>
        <w:t xml:space="preserve"> </w:t>
      </w:r>
      <w:r>
        <w:rPr>
          <w:bCs/>
          <w:b/>
        </w:rPr>
        <w:t xml:space="preserve">University Lecturer</w:t>
      </w:r>
      <w:r>
        <w:t xml:space="preserve">.</w:t>
      </w:r>
    </w:p>
    <w:bookmarkEnd w:id="23"/>
    <w:bookmarkStart w:id="24" w:name="research-expectations"/>
    <w:p>
      <w:pPr>
        <w:pStyle w:val="Heading3"/>
      </w:pPr>
      <w:r>
        <w:t xml:space="preserve">4.2 Research Expectations</w:t>
      </w:r>
    </w:p>
    <w:p>
      <w:pPr>
        <w:pStyle w:val="FirstParagraph"/>
      </w:pPr>
      <w:r>
        <w:t xml:space="preserve">Berlin is home to numerous Max Planck Institutes and Fraunhofer Societies, creating a dense research ecosystem. A</w:t>
      </w:r>
      <w:r>
        <w:t xml:space="preserve"> </w:t>
      </w:r>
      <w:r>
        <w:rPr>
          <w:bCs/>
          <w:b/>
        </w:rPr>
        <w:t xml:space="preserve">University LecturerGermany Berlin</w:t>
      </w:r>
      <w:r>
        <w:t xml:space="preserve"> </w:t>
      </w:r>
      <w:r>
        <w:t xml:space="preserve">academic market.</w:t>
      </w:r>
    </w:p>
    <w:bookmarkEnd w:id="24"/>
    <w:bookmarkStart w:id="25" w:name="administrative-and-service-duties"/>
    <w:p>
      <w:pPr>
        <w:pStyle w:val="Heading3"/>
      </w:pPr>
      <w:r>
        <w:t xml:space="preserve">4.3 Administrative and Service Duties</w:t>
      </w:r>
    </w:p>
    <w:p>
      <w:pPr>
        <w:pStyle w:val="FirstParagraph"/>
      </w:pPr>
      <w:r>
        <w:t xml:space="preserve">Bureaucracy is often cited as a challenge in German academia. A</w:t>
      </w:r>
      <w:r>
        <w:t xml:space="preserve"> </w:t>
      </w:r>
      <w:r>
        <w:rPr>
          <w:bCs/>
          <w:b/>
        </w:rPr>
        <w:t xml:space="preserve">University Lecturer</w:t>
      </w:r>
    </w:p>
    <w:bookmarkEnd w:id="25"/>
    <w:bookmarkEnd w:id="26"/>
    <w:bookmarkStart w:id="27" w:name="regulatory-and-qualification-frameworks"/>
    <w:p>
      <w:pPr>
        <w:pStyle w:val="Heading2"/>
      </w:pPr>
      <w:r>
        <w:t xml:space="preserve">5. Regulatory and Qualification Frameworks</w:t>
      </w:r>
    </w:p>
    <w:p>
      <w:pPr>
        <w:pStyle w:val="FirstParagraph"/>
      </w:pPr>
      <w:r>
        <w:t xml:space="preserve">To qualify as a</w:t>
      </w:r>
      <w:r>
        <w:t xml:space="preserve"> </w:t>
      </w:r>
      <w:r>
        <w:rPr>
          <w:bCs/>
          <w:b/>
        </w:rPr>
        <w:t xml:space="preserve">University Lecturer</w:t>
      </w:r>
    </w:p>
    <w:p>
      <w:pPr>
        <w:pStyle w:val="BodyText"/>
      </w:pPr>
      <w:r>
        <w:t xml:space="preserve">Credential/Requirement</w:t>
      </w:r>
    </w:p>
    <w:bookmarkEnd w:id="27"/>
    <w:p>
      <w:pPr>
        <w:pStyle w:val="BodyText"/>
      </w:pPr>
      <w:r>
        <w:t xml:space="preserve">Description</w:t>
      </w:r>
    </w:p>
    <w:p>
      <w:pPr>
        <w:pStyle w:val="BodyText"/>
      </w:pPr>
      <w:r>
        <w:t xml:space="preserve">Relevance to Germany Berlin Context</w:t>
      </w:r>
    </w:p>
    <w:p>
      <w:pPr>
        <w:pStyle w:val="BodyText"/>
      </w:pPr>
      <w:r>
        <w:t xml:space="preserve">Doktorgrad (PhD)</w:t>
      </w:r>
    </w:p>
    <w:p>
      <w:pPr>
        <w:pStyle w:val="BodyText"/>
      </w:pPr>
      <w:r>
        <w:t xml:space="preserve">Mandatory terminal degree.</w:t>
      </w:r>
    </w:p>
    <w:p>
      <w:pPr>
        <w:pStyle w:val="BodyText"/>
      </w:pPr>
      <w:r>
        <w:t xml:space="preserve">Universal standard across all Berlin universities.</w:t>
      </w:r>
    </w:p>
    <w:p>
      <w:pPr>
        <w:pStyle w:val="BodyText"/>
      </w:pPr>
      <w:r>
        <w:t xml:space="preserve">Habilitation OR Junior Professorship</w:t>
      </w:r>
    </w:p>
    <w:p>
      <w:pPr>
        <w:pStyle w:val="BodyText"/>
      </w:pPr>
      <w:r>
        <w:t xml:space="preserve">Veniam Legendi or Tenure-Track equivalent.</w:t>
      </w:r>
    </w:p>
    <w:p>
      <w:pPr>
        <w:pStyle w:val="BodyText"/>
      </w:pPr>
      <w:r>
        <w:t xml:space="preserve">The *Junior Professor* model is widely used in Berlin to attract early-career academics, offering a clearer path than the traditional *Habilitation*. TD/TR&gt;</w:t>
      </w:r>
    </w:p>
    <w:p>
      <w:pPr>
        <w:pStyle w:val="BodyText"/>
      </w:pPr>
      <w:r>
        <w:t xml:space="preserve">Languages (German/English)</w:t>
      </w:r>
    </w:p>
    <w:p>
      <w:pPr>
        <w:pStyle w:val="BodyText"/>
      </w:pPr>
      <w:r>
        <w:t xml:space="preserve">Proof of proficiency required.</w:t>
      </w:r>
    </w:p>
    <w:p>
      <w:pPr>
        <w:pStyle w:val="BodyText"/>
      </w:pPr>
      <w:r>
        <w:t xml:space="preserve">In</w:t>
      </w:r>
      <w:r>
        <w:t xml:space="preserve"> </w:t>
      </w:r>
      <w:r>
        <w:rPr>
          <w:bCs/>
          <w:b/>
        </w:rPr>
        <w:t xml:space="preserve">Germany Berlin</w:t>
      </w:r>
      <w:r>
        <w:t xml:space="preserve">, English is often sufficient for STEM fields, but German remains crucial for humanities and social sciences. TD/TR&gt;</w:t>
      </w:r>
    </w:p>
    <w:bookmarkStart w:id="28" w:name="X249a99b30e9842e98a2e38f1abaf1d754ef2f9f"/>
    <w:p>
      <w:pPr>
        <w:pStyle w:val="Heading2"/>
      </w:pPr>
      <w:r>
        <w:t xml:space="preserve">6. Challenges and Environmental Factors in Germany Berlin</w:t>
      </w:r>
    </w:p>
    <w:p>
      <w:pPr>
        <w:pStyle w:val="FirstParagraph"/>
      </w:pPr>
      <w:r>
        <w:t xml:space="preserve">The housing crisis in Berlin presents a unique challenge for new academic staff. As a</w:t>
      </w:r>
      <w:r>
        <w:t xml:space="preserve"> </w:t>
      </w:r>
      <w:r>
        <w:rPr>
          <w:bCs/>
          <w:b/>
        </w:rPr>
        <w:t xml:space="preserve">University Lecturer</w:t>
      </w:r>
      <w:r>
        <w:t xml:space="preserve">, securing affordable accommodation can be difficult due to the high demand for living space in the capital. This factor indirectly affects job satisfaction and retention rates. Furthermore, the multicultural fabric of Berlin means that lecturers must be culturally competent, capable of engaging with students from over 180 nationalities. This diversity enriches classroom discussion but requires nuanced pedagogical strategies.</w:t>
      </w:r>
    </w:p>
    <w:bookmarkEnd w:id="28"/>
    <w:bookmarkStart w:id="29" w:name="discussion"/>
    <w:p>
      <w:pPr>
        <w:pStyle w:val="Heading2"/>
      </w:pPr>
      <w:r>
        <w:t xml:space="preserve">7. Discussion</w:t>
      </w:r>
    </w:p>
    <w:p>
      <w:pPr>
        <w:pStyle w:val="FirstParagraph"/>
      </w:pPr>
      <w:r>
        <w:t xml:space="preserve">The data suggests a dichotomy in the role of the</w:t>
      </w:r>
      <w:r>
        <w:t xml:space="preserve"> </w:t>
      </w:r>
      <w:r>
        <w:rPr>
          <w:bCs/>
          <w:b/>
        </w:rPr>
        <w:t xml:space="preserve">University Lecturer</w:t>
      </w:r>
      <w:r>
        <w:t xml:space="preserve">. On one hand, there is intellectual freedom and access to world-class resources in Berlin. On the other hand, there is rigid structural adherence to administrative protocols and intense peer competition. The environment in</w:t>
      </w:r>
      <w:r>
        <w:t xml:space="preserve"> </w:t>
      </w:r>
      <w:r>
        <w:rPr>
          <w:bCs/>
          <w:b/>
        </w:rPr>
        <w:t xml:space="preserve">Germany Berlin</w:t>
      </w:r>
      <w:r>
        <w:t xml:space="preserve"> </w:t>
      </w:r>
      <w:r>
        <w:t xml:space="preserve">rewards those who can balance independent research with collaborative teaching. It is imperative that universities continue to support lecturers through mentorship programs that address both academic development and bureaucratic navigation.</w:t>
      </w:r>
    </w:p>
    <w:bookmarkEnd w:id="29"/>
    <w:bookmarkStart w:id="30" w:name="conclusion"/>
    <w:p>
      <w:pPr>
        <w:pStyle w:val="Heading2"/>
      </w:pPr>
      <w:r>
        <w:t xml:space="preserve">8. Conclusion</w:t>
      </w:r>
    </w:p>
    <w:p>
      <w:pPr>
        <w:pStyle w:val="FirstParagraph"/>
      </w:pPr>
      <w:r>
        <w:t xml:space="preserve">This laboratory report confirms that the position of a</w:t>
      </w:r>
      <w:r>
        <w:t xml:space="preserve"> </w:t>
      </w:r>
      <w:r>
        <w:rPr>
          <w:bCs/>
          <w:b/>
        </w:rPr>
        <w:t xml:space="preserve">University LecturerGermany Berlin</w:t>
      </w:r>
    </w:p>
    <w:bookmarkEnd w:id="30"/>
    <w:bookmarkStart w:id="31" w:name="references"/>
    <w:p>
      <w:pPr>
        <w:pStyle w:val="Heading2"/>
      </w:pPr>
      <w:r>
        <w:t xml:space="preserve">9. References</w:t>
      </w:r>
    </w:p>
    <w:p>
      <w:pPr>
        <w:pStyle w:val="FirstParagraph"/>
      </w:pPr>
      <w:r>
        <w:t xml:space="preserve">Bundesministerium für Bildung und Forschung. (2023). *Higher Education in Germany*. Bonn.</w:t>
      </w:r>
    </w:p>
    <w:p>
      <w:pPr>
        <w:pStyle w:val="BodyText"/>
      </w:pPr>
      <w:r>
        <w:t xml:space="preserve">Humboldt Universität zu Berlin. (2023). *Lecturer Job Description and Guidelines*. Berlin.</w:t>
      </w:r>
    </w:p>
    <w:p>
      <w:pPr>
        <w:pStyle w:val="BodyText"/>
      </w:pPr>
      <w:r>
        <w:t xml:space="preserve">Fraunhofer Society. (2023). *Research Framework and Academic Employment Standards*. Munich/Berlin Offices.</w:t>
      </w:r>
    </w:p>
    <w:p>
      <w:pPr>
        <w:pStyle w:val="BodyText"/>
      </w:pPr>
      <w:r>
        <w:t xml:space="preserve">Senate Administration of Berlin. (2024). *Statistical Report on International Students in German Universities*. TD/UL&gt;</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Evaluation of University Lecturer Performance in Germany Berlin</dc:title>
  <dc:creator/>
  <dc:language>en</dc:language>
  <cp:keywords/>
  <dcterms:created xsi:type="dcterms:W3CDTF">2026-07-29T15:27:36Z</dcterms:created>
  <dcterms:modified xsi:type="dcterms:W3CDTF">2026-07-29T15:27:36Z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