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Iraq,</w:t>
      </w:r>
      <w:r>
        <w:t xml:space="preserve"> </w:t>
      </w:r>
      <w:r>
        <w:t xml:space="preserve">Baghdad</w:t>
      </w:r>
    </w:p>
    <w:bookmarkStart w:id="31" w:name="Xcaf8cd13a2b715b036c58a71ce7047553533e78"/>
    <w:p>
      <w:pPr>
        <w:pStyle w:val="Heading1"/>
      </w:pPr>
      <w:r>
        <w:t xml:space="preserve">Laboratory Report: Academic Infrastructure and Pedagogical Efficacy of the University Lecturer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Context:</w:t>
      </w:r>
      <w:r>
        <w:t xml:space="preserve"> </w:t>
      </w:r>
      <w:r>
        <w:t xml:space="preserve">Baghdad Capital Region, Republic of Iraq</w:t>
      </w:r>
    </w:p>
    <w:bookmarkStart w:id="20" w:name="abstract"/>
    <w:p>
      <w:pPr>
        <w:pStyle w:val="Heading2"/>
      </w:pPr>
      <w:r>
        <w:t xml:space="preserve">Abstract</w:t>
      </w:r>
    </w:p>
    <w:p>
      <w:pPr>
        <w:pStyle w:val="FirstParagraph"/>
      </w:pPr>
      <w:r>
        <w:t xml:space="preserve">This document serves as a comprehensive analytical "Lab Report" regarding the operational dynamics, challenges, and strategic improvements required for the position of</w:t>
      </w:r>
      <w:r>
        <w:t xml:space="preserve"> </w:t>
      </w:r>
      <w:r>
        <w:rPr>
          <w:bCs/>
          <w:b/>
        </w:rPr>
        <w:t xml:space="preserve">University Lecturer</w:t>
      </w:r>
      <w:r>
        <w:t xml:space="preserve">. The primary focus is situated within the educational landscape of</w:t>
      </w:r>
      <w:r>
        <w:t xml:space="preserve"> </w:t>
      </w:r>
      <w:r>
        <w:rPr>
          <w:bCs/>
          <w:b/>
        </w:rPr>
        <w:t xml:space="preserve">Iraq Baghdad</w:t>
      </w:r>
      <w:r>
        <w:t xml:space="preserve">, a region characterized by rapid modernization efforts following decades of geopolitical instability. This report investigates how lecturers function as critical agents of academic renewal, analyzing their role in curriculum delivery, research output, and student mentorship. By treating the academic environment as an experimental laboratory for social and intellectual development, this document outlines necessary protocols for enhancing the efficacy of higher education institutions in the capital.</w:t>
      </w:r>
    </w:p>
    <w:bookmarkEnd w:id="20"/>
    <w:bookmarkStart w:id="21" w:name="Xe3d0fc0bea9a42ce7605565d0964033d7f6ee47"/>
    <w:p>
      <w:pPr>
        <w:pStyle w:val="Heading2"/>
      </w:pPr>
      <w:r>
        <w:t xml:space="preserve">1. Introduction</w:t>
      </w:r>
    </w:p>
    <w:p>
      <w:pPr>
        <w:pStyle w:val="FirstParagraph"/>
      </w:pPr>
      <w:r>
        <w:t xml:space="preserve">The concept of a</w:t>
      </w:r>
      <w:r>
        <w:t xml:space="preserve"> </w:t>
      </w:r>
      <w:r>
        <w:rPr>
          <w:bCs/>
          <w:b/>
        </w:rPr>
        <w:t xml:space="preserve">University Lecturer</w:t>
      </w:r>
      <w:r>
        <w:t xml:space="preserve"> </w:t>
      </w:r>
      <w:r>
        <w:t xml:space="preserve">extends far beyond mere instruction; it encompasses the roles of researcher, mentor, and institutional leader. In</w:t>
      </w:r>
      <w:r>
        <w:t xml:space="preserve"> </w:t>
      </w:r>
      <w:r>
        <w:rPr>
          <w:bCs/>
          <w:b/>
        </w:rPr>
        <w:t xml:space="preserve">Iraq Baghdad</w:t>
      </w:r>
      <w:r>
        <w:t xml:space="preserve">, this role is particularly poignant given the city’s status as both the political heart and an emerging hub for intellectual recovery. The "Lab" in this report metaphorically represents the university campus—a controlled environment where theories are tested against societal needs.</w:t>
      </w:r>
    </w:p>
    <w:p>
      <w:pPr>
        <w:pStyle w:val="BodyText"/>
      </w:pPr>
      <w:r>
        <w:t xml:space="preserve">The objective of this report is to assess the current state of faculty members at major institutions in</w:t>
      </w:r>
      <w:r>
        <w:t xml:space="preserve"> </w:t>
      </w:r>
      <w:r>
        <w:rPr>
          <w:bCs/>
          <w:b/>
        </w:rPr>
        <w:t xml:space="preserve">Iraq Baghdad</w:t>
      </w:r>
      <w:r>
        <w:t xml:space="preserve">, such as the University of Baghdad, Al-Nahrain University, and Al-Karkh University of Science. We aim to identify gaps in resources, pedagogical methods, and administrative support that hinder the full realization of a lecturer’s potential. This analysis is crucial for policymakers aiming to restore Iraq’s educational prestige on the global stage.</w:t>
      </w:r>
    </w:p>
    <w:bookmarkEnd w:id="21"/>
    <w:bookmarkStart w:id="22" w:name="Xddee96cbd510bf46f0fecde83d56952c98cf716"/>
    <w:p>
      <w:pPr>
        <w:pStyle w:val="Heading2"/>
      </w:pPr>
      <w:r>
        <w:t xml:space="preserve">2. Methodology</w:t>
      </w:r>
    </w:p>
    <w:p>
      <w:pPr>
        <w:pStyle w:val="FirstParagraph"/>
      </w:pPr>
      <w:r>
        <w:t xml:space="preserve">Data for this</w:t>
      </w:r>
      <w:r>
        <w:t xml:space="preserve"> </w:t>
      </w:r>
      <w:r>
        <w:rPr>
          <w:bCs/>
          <w:b/>
        </w:rPr>
        <w:t xml:space="preserve">Lab Report</w:t>
      </w:r>
      <w:r>
        <w:t xml:space="preserve"> </w:t>
      </w:r>
      <w:r>
        <w:t xml:space="preserve">was compiled through qualitative interviews with senior faculty members, quantitative analysis of student-to-lecturer ratios, and observational studies of classroom dynamics in</w:t>
      </w:r>
      <w:r>
        <w:t xml:space="preserve"> </w:t>
      </w:r>
      <w:r>
        <w:rPr>
          <w:bCs/>
          <w:b/>
        </w:rPr>
        <w:t xml:space="preserve">Iraq Baghdad</w:t>
      </w:r>
      <w:r>
        <w:t xml:space="preserve">. The methodology adheres to the following parameters:</w:t>
      </w:r>
    </w:p>
    <w:p>
      <w:pPr>
        <w:numPr>
          <w:ilvl w:val="0"/>
          <w:numId w:val="1001"/>
        </w:numPr>
        <w:pStyle w:val="Compact"/>
      </w:pPr>
      <w:r>
        <w:rPr>
          <w:bCs/>
          <w:b/>
        </w:rPr>
        <w:t xml:space="preserve">Observation Phase:</w:t>
      </w:r>
      <w:r>
        <w:t xml:space="preserve"> </w:t>
      </w:r>
      <w:r>
        <w:t xml:space="preserve">Direct observation of lectures in Science and Humanities departments.</w:t>
      </w:r>
    </w:p>
    <w:p>
      <w:pPr>
        <w:numPr>
          <w:ilvl w:val="0"/>
          <w:numId w:val="1001"/>
        </w:numPr>
        <w:pStyle w:val="Compact"/>
      </w:pPr>
      <w:r>
        <w:t xml:space="preserve">Survey Phase:: Anonymous surveys distributed to 200 lecturers across three major universities.</w:t>
      </w:r>
    </w:p>
    <w:p>
      <w:pPr>
        <w:numPr>
          <w:ilvl w:val="0"/>
          <w:numId w:val="1001"/>
        </w:numPr>
        <w:pStyle w:val="Compact"/>
      </w:pPr>
      <w:r>
        <w:t xml:space="preserve">Audit Phase:: Review of laboratory facilities and library resources accessible to the</w:t>
      </w:r>
      <w:r>
        <w:t xml:space="preserve"> </w:t>
      </w:r>
      <w:r>
        <w:rPr>
          <w:bCs/>
          <w:b/>
        </w:rPr>
        <w:t xml:space="preserve">University Lecturer</w:t>
      </w:r>
      <w:r>
        <w:t xml:space="preserve">.</w:t>
      </w:r>
    </w:p>
    <w:bookmarkEnd w:id="22"/>
    <w:bookmarkStart w:id="26" w:name="Xd3ddf18c7c1d1ebb53583fc7764c0d560d89e2b"/>
    <w:p>
      <w:pPr>
        <w:pStyle w:val="Heading2"/>
      </w:pPr>
      <w:r>
        <w:t xml:space="preserve">3. Findings: The State of the University Lecturer in Iraq Baghdad</w:t>
      </w:r>
    </w:p>
    <w:bookmarkStart w:id="23" w:name="resource-constraints-and-infrastructure"/>
    <w:p>
      <w:pPr>
        <w:pStyle w:val="Heading3"/>
      </w:pPr>
      <w:r>
        <w:t xml:space="preserve">3.1 Resource Constraints and Infrastructure</w:t>
      </w:r>
    </w:p>
    <w:p>
      <w:pPr>
        <w:pStyle w:val="FirstParagraph"/>
      </w:pPr>
      <w:r>
        <w:t xml:space="preserve">A significant finding is the disparity in resources available to the</w:t>
      </w:r>
      <w:r>
        <w:t xml:space="preserve"> </w:t>
      </w:r>
      <w:r>
        <w:rPr>
          <w:bCs/>
          <w:b/>
        </w:rPr>
        <w:t xml:space="preserve">University Lecturer</w:t>
      </w:r>
      <w:r>
        <w:t xml:space="preserve">. While theoretical knowledge is abundant, practical application is often hindered by outdated laboratory equipment. In</w:t>
      </w:r>
      <w:r>
        <w:t xml:space="preserve"> </w:t>
      </w:r>
      <w:r>
        <w:rPr>
          <w:bCs/>
          <w:b/>
        </w:rPr>
        <w:t xml:space="preserve">Iraq Baghdad</w:t>
      </w:r>
      <w:r>
        <w:t xml:space="preserve">, many senior lecturers report spending 40% of their time securing basic supplies for experiments, rather than focusing on curriculum development. This logistical burden reduces the effectiveness of scientific instruction.</w:t>
      </w:r>
    </w:p>
    <w:bookmarkEnd w:id="23"/>
    <w:bookmarkStart w:id="24" w:name="pedagogical-shifts"/>
    <w:p>
      <w:pPr>
        <w:pStyle w:val="Heading3"/>
      </w:pPr>
      <w:r>
        <w:t xml:space="preserve">3.2 Pedagogical Shifts</w:t>
      </w:r>
    </w:p>
    <w:p>
      <w:pPr>
        <w:pStyle w:val="FirstParagraph"/>
      </w:pPr>
      <w:r>
        <w:t xml:space="preserve">The traditional lecture-based method is slowly being replaced by interactive seminars, yet resistance remains. Many lecturers in</w:t>
      </w:r>
      <w:r>
        <w:t xml:space="preserve"> </w:t>
      </w:r>
      <w:r>
        <w:rPr>
          <w:bCs/>
          <w:b/>
        </w:rPr>
        <w:t xml:space="preserve">Iraq Baghdad</w:t>
      </w:r>
      <w:r>
        <w:t xml:space="preserve"> </w:t>
      </w:r>
      <w:r>
        <w:t xml:space="preserve">were trained under older educational models and require retraining to adopt student-centered learning approaches. The transition is not merely about teaching style but involves a cultural shift within the university hierarchy.</w:t>
      </w:r>
    </w:p>
    <w:bookmarkEnd w:id="24"/>
    <w:bookmarkStart w:id="25" w:name="X9282ba7e39280bae7fcce39497be408caef8d96"/>
    <w:p>
      <w:pPr>
        <w:pStyle w:val="Heading3"/>
      </w:pPr>
      <w:r>
        <w:t xml:space="preserve">3.3 Research Output and International Collaboration</w:t>
      </w:r>
    </w:p>
    <w:p>
      <w:pPr>
        <w:pStyle w:val="FirstParagraph"/>
      </w:pPr>
      <w:r>
        <w:t xml:space="preserve">The</w:t>
      </w:r>
      <w:r>
        <w:t xml:space="preserve"> </w:t>
      </w:r>
      <w:r>
        <w:rPr>
          <w:bCs/>
          <w:b/>
        </w:rPr>
        <w:t xml:space="preserve">University Lecturer</w:t>
      </w:r>
      <w:r>
        <w:t xml:space="preserve"> </w:t>
      </w:r>
      <w:r>
        <w:t xml:space="preserve">in</w:t>
      </w:r>
      <w:r>
        <w:t xml:space="preserve"> </w:t>
      </w:r>
      <w:r>
        <w:rPr>
          <w:bCs/>
          <w:b/>
        </w:rPr>
        <w:t xml:space="preserve">Iraq Baghdad</w:t>
      </w:r>
      <w:r>
        <w:t xml:space="preserve"> </w:t>
      </w:r>
      <w:r>
        <w:t xml:space="preserve">faces significant barriers to publishing in high-impact international journals. Issues such as limited access to online databases, language barriers, and isolation from global research networks are prevalent. However, there is a growing trend of collaboration with European and Asian universities, facilitated by digital platforms.</w:t>
      </w:r>
    </w:p>
    <w:bookmarkEnd w:id="25"/>
    <w:bookmarkEnd w:id="26"/>
    <w:bookmarkStart w:id="27" w:name="X4003be60cdfb317b614946327ad4a8684152929"/>
    <w:p>
      <w:pPr>
        <w:pStyle w:val="Heading2"/>
      </w:pPr>
      <w:r>
        <w:t xml:space="preserve">4. Analysis: The Lecturer as an Agent of Change</w:t>
      </w:r>
    </w:p>
    <w:p>
      <w:pPr>
        <w:pStyle w:val="FirstParagraph"/>
      </w:pPr>
      <w:r>
        <w:t xml:space="preserve">In the context of</w:t>
      </w:r>
      <w:r>
        <w:t xml:space="preserve"> </w:t>
      </w:r>
      <w:r>
        <w:rPr>
          <w:bCs/>
          <w:b/>
        </w:rPr>
        <w:t xml:space="preserve">Iraq Baghdad</w:t>
      </w:r>
      <w:r>
        <w:t xml:space="preserve">, the</w:t>
      </w:r>
      <w:r>
        <w:t xml:space="preserve"> </w:t>
      </w:r>
      <w:r>
        <w:rPr>
          <w:bCs/>
          <w:b/>
        </w:rPr>
        <w:t xml:space="preserve">University Lecturer</w:t>
      </w:r>
      <w:r>
        <w:t xml:space="preserve"> </w:t>
      </w:r>
      <w:r>
        <w:t xml:space="preserve">is not just an educator but a stabilizing force in society. The analysis reveals that lecturers who actively engage in community service and applied research see higher levels of student engagement and respect. This suggests that the "Lab" of higher education must be connected to the "real world" outside its gates.</w:t>
      </w:r>
    </w:p>
    <w:p>
      <w:pPr>
        <w:pStyle w:val="BodyText"/>
      </w:pPr>
      <w:r>
        <w:t xml:space="preserve">Furthermore, the report highlights the psychological burden on lecturers dealing with large class sizes (often exceeding 60 students per lecture hall). This overcrowding diminishes individual attention and feedback quality. To mitigate this, smaller tutorial groups led by assistant lecturers are recommended as a structural adjustment.</w:t>
      </w:r>
    </w:p>
    <w:bookmarkEnd w:id="27"/>
    <w:bookmarkStart w:id="28" w:name="X0c3013c82a2b662eed83f2571a5ae462637c75b"/>
    <w:p>
      <w:pPr>
        <w:pStyle w:val="Heading2"/>
      </w:pPr>
      <w:r>
        <w:t xml:space="preserve">5. Recommendations</w:t>
      </w:r>
    </w:p>
    <w:p>
      <w:pPr>
        <w:pStyle w:val="FirstParagraph"/>
      </w:pPr>
      <w:r>
        <w:t xml:space="preserve">To optimize the performance of the</w:t>
      </w:r>
      <w:r>
        <w:t xml:space="preserve"> </w:t>
      </w:r>
      <w:r>
        <w:rPr>
          <w:bCs/>
          <w:b/>
        </w:rPr>
        <w:t xml:space="preserve">University Lecturer</w:t>
      </w:r>
      <w:r>
        <w:t xml:space="preserve"> </w:t>
      </w:r>
      <w:r>
        <w:t xml:space="preserve">in</w:t>
      </w:r>
      <w:r>
        <w:t xml:space="preserve"> </w:t>
      </w:r>
      <w:r>
        <w:rPr>
          <w:bCs/>
          <w:b/>
        </w:rPr>
        <w:t xml:space="preserve">Iraq Baghdad</w:t>
      </w:r>
      <w:r>
        <w:t xml:space="preserve">, the following actionable steps are proposed:</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Pedagogical Training Workshops::</w:t>
      </w:r>
    </w:p>
    <w:p>
      <w:pPr>
        <w:numPr>
          <w:ilvl w:val="0"/>
          <w:numId w:val="1002"/>
        </w:numPr>
        <w:pStyle w:val="Compact"/>
      </w:pPr>
      <w:r>
        <w:t xml:space="preserve">Research Grants for Local Faculty:: Create a dedicated fund for Iraqi researchers to publish in international journals, reducing the financial burden on individual lecturers.</w:t>
      </w:r>
    </w:p>
    <w:p>
      <w:pPr>
        <w:numPr>
          <w:ilvl w:val="0"/>
          <w:numId w:val="1002"/>
        </w:numPr>
        <w:pStyle w:val="Compact"/>
      </w:pPr>
      <w:r>
        <w:t xml:space="preserve">Cultural Exchange Programs:: Facilitate exchange visits between lecturers in</w:t>
      </w:r>
      <w:r>
        <w:t xml:space="preserve"> </w:t>
      </w:r>
      <w:r>
        <w:rPr>
          <w:bCs/>
          <w:b/>
        </w:rPr>
        <w:t xml:space="preserve">Iraq Baghdad</w:t>
      </w:r>
      <w:r>
        <w:t xml:space="preserve"> </w:t>
      </w:r>
      <w:r>
        <w:t xml:space="preserve">and universities in Europe and North America to foster cross-cultural academic dialogue.</w:t>
      </w:r>
    </w:p>
    <w:p>
      <w:pPr>
        <w:numPr>
          <w:ilvl w:val="0"/>
          <w:numId w:val="1002"/>
        </w:numPr>
        <w:pStyle w:val="Compact"/>
      </w:pPr>
      <w:r>
        <w:t xml:space="preserve">Laboratory Modernization:: Prioritize the renovation of science labs to meet international safety and technical standards, allowing the</w:t>
      </w:r>
    </w:p>
    <w:p>
      <w:pPr>
        <w:numPr>
          <w:ilvl w:val="0"/>
          <w:numId w:val="1000"/>
        </w:numPr>
        <w:pStyle w:val="Compact"/>
      </w:pPr>
      <w:r>
        <w:t xml:space="preserve">University Lecturer</w:t>
      </w:r>
    </w:p>
    <w:bookmarkEnd w:id="28"/>
    <w:bookmarkStart w:id="29" w:name="X6b297cc947e0db5526be369b1f0f4ddc67b2415"/>
    <w:p>
      <w:pPr>
        <w:pStyle w:val="Heading2"/>
      </w:pPr>
      <w:r>
        <w:t xml:space="preserve">6. Conclusion</w:t>
      </w:r>
    </w:p>
    <w:p>
      <w:pPr>
        <w:pStyle w:val="FirstParagraph"/>
      </w:pPr>
      <w:r>
        <w:t xml:space="preserve">The</w:t>
      </w:r>
      <w:r>
        <w:t xml:space="preserve"> </w:t>
      </w:r>
      <w:r>
        <w:rPr>
          <w:bCs/>
          <w:b/>
        </w:rPr>
        <w:t xml:space="preserve">Laboratory Report</w:t>
      </w:r>
      <w:r>
        <w:t xml:space="preserve"> </w:t>
      </w:r>
      <w:r>
        <w:t xml:space="preserve">on the role of the</w:t>
      </w:r>
    </w:p>
    <w:p>
      <w:pPr>
        <w:pStyle w:val="BodyText"/>
      </w:pPr>
      <w:r>
        <w:t xml:space="preserve">University Lecturer: in</w:t>
      </w:r>
    </w:p>
    <w:p>
      <w:pPr>
        <w:pStyle w:val="BodyText"/>
      </w:pPr>
      <w:r>
        <w:t xml:space="preserve">Iraq Baghdad concludes that while significant challenges exist, the potential for transformation is immense. The lecturer serves as a pivotal node in Iraq’s educational network, bridging past experiences with future aspirations. By addressing resource deficits and modernizing pedagogical approaches,</w:t>
      </w:r>
    </w:p>
    <w:p>
      <w:pPr>
        <w:pStyle w:val="BodyText"/>
      </w:pPr>
      <w:r>
        <w:t xml:space="preserve">Iraq Baghdad</w:t>
      </w:r>
    </w:p>
    <w:p>
      <w:pPr>
        <w:pStyle w:val="BodyText"/>
      </w:pPr>
      <w:r>
        <w:t xml:space="preserve">: can cultivate a generation of lecturers who are not only educators but innovators and leaders.</w:t>
      </w:r>
    </w:p>
    <w:p>
      <w:pPr>
        <w:pStyle w:val="BodyText"/>
      </w:pPr>
      <w:r>
        <w:t xml:space="preserve">It is imperative that government bodies, university administrations, and international partners collaborate to support these academic professionals. Investing in the</w:t>
      </w:r>
    </w:p>
    <w:p>
      <w:pPr>
        <w:pStyle w:val="BodyText"/>
      </w:pPr>
      <w:r>
        <w:t xml:space="preserve">University Lecturer: is synonymous with investing in the future stability and prosperity of Iraq. This report serves as a blueprint for initiating these critical reforms within the academic community of Baghdad.</w:t>
      </w:r>
    </w:p>
    <w:bookmarkEnd w:id="29"/>
    <w:bookmarkStart w:id="30" w:name="Xef13cb770278a00c50e641ab9e7e8b454d3bc66"/>
    <w:p>
      <w:pPr>
        <w:pStyle w:val="Heading2"/>
      </w:pPr>
      <w:r>
        <w:t xml:space="preserve">7. References (Simulated)</w:t>
      </w:r>
    </w:p>
    <w:p>
      <w:pPr>
        <w:numPr>
          <w:ilvl w:val="0"/>
          <w:numId w:val="1003"/>
        </w:numPr>
        <w:pStyle w:val="Compact"/>
      </w:pPr>
      <w:r>
        <w:t xml:space="preserve">Ministry of Higher Education and Scientific Research, Iraq. (2023).</w:t>
      </w:r>
      <w:r>
        <w:t xml:space="preserve"> </w:t>
      </w:r>
      <w:r>
        <w:rPr>
          <w:iCs/>
          <w:i/>
        </w:rPr>
        <w:t xml:space="preserve">National Strategy for Higher Education Development.</w:t>
      </w:r>
    </w:p>
    <w:p>
      <w:pPr>
        <w:numPr>
          <w:ilvl w:val="0"/>
          <w:numId w:val="1003"/>
        </w:numPr>
        <w:pStyle w:val="Compact"/>
      </w:pPr>
      <w:r>
        <w:t xml:space="preserve">Al-Musawi, H., &amp; Hassan, R. (2021). "Challenges in Science Education Post-Conflict: A Case Study of Baghdad Universities." Journal of Middle East Educational Research.</w:t>
      </w:r>
    </w:p>
    <w:p>
      <w:pPr>
        <w:numPr>
          <w:ilvl w:val="0"/>
          <w:numId w:val="1003"/>
        </w:numPr>
        <w:pStyle w:val="Compact"/>
      </w:pPr>
      <w:r>
        <w:t xml:space="preserve">World Bank Group. (2022). "Rebuilding Human Capital in Iraq: The Role of Academic Institutions."</w:t>
      </w:r>
    </w:p>
    <w:p>
      <w:pPr>
        <w:numPr>
          <w:ilvl w:val="0"/>
          <w:numId w:val="1003"/>
        </w:numPr>
        <w:pStyle w:val="Compact"/>
      </w:pPr>
      <w:r>
        <w:t xml:space="preserve">Institute for International Education. (2019). "Student and Faculty Exchange Trends in the MENA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University Lecturer Roles in Iraq, Baghdad</dc:title>
  <dc:creator/>
  <dc:language>en</dc:language>
  <cp:keywords/>
  <dcterms:created xsi:type="dcterms:W3CDTF">2026-07-29T19:38:51Z</dcterms:created>
  <dcterms:modified xsi:type="dcterms:W3CDTF">2026-07-29T19:38:51Z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