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0" w:name="X6a598b3e05b9f954bb2f0902304325ea1db1b95"/>
    <w:p>
      <w:pPr>
        <w:pStyle w:val="Heading1"/>
      </w:pPr>
      <w:r>
        <w:t xml:space="preserve">Laboratory Report: Operational &amp; Pedagogical Analysis of the University Lecturer Role within the Academic Framework of Netherlands Amsterdam</w:t>
      </w:r>
    </w:p>
    <w:p>
      <w:pPr>
        <w:pStyle w:val="FirstParagraph"/>
      </w:pPr>
      <w:r>
        <w:rPr>
          <w:bCs/>
          <w:b/>
        </w:rPr>
        <w:t xml:space="preserve">Date:</w:t>
      </w:r>
      <w:r>
        <w:t xml:space="preserve"> </w:t>
      </w:r>
      <w:r>
        <w:t xml:space="preserve">May 24, 2024</w:t>
      </w:r>
      <w:r>
        <w:br/>
      </w:r>
      <w:r>
        <w:rPr>
          <w:bCs/>
          <w:b/>
        </w:rPr>
        <w:t xml:space="preserve">Prepared For:</w:t>
      </w:r>
      <w:r>
        <w:t xml:space="preserve"> </w:t>
      </w:r>
      <w:r>
        <w:t xml:space="preserve">Departmental Review Committee &amp; HR Administration</w:t>
      </w:r>
      <w:r>
        <w:br/>
      </w:r>
      <w:r>
        <w:rPr>
          <w:bCs/>
          <w:b/>
        </w:rPr>
        <w:t xml:space="preserve">Jurisdiction Focus:</w:t>
      </w:r>
      <w:r>
        <w:t xml:space="preserve"> </w:t>
      </w:r>
      <w:r>
        <w:t xml:space="preserve">Netherlands Amsterdam Higher Education Sector</w:t>
      </w:r>
      <w:r>
        <w:br/>
      </w:r>
    </w:p>
    <w:p>
      <w:pPr>
        <w:pStyle w:val="BodyText"/>
      </w:pPr>
      <w:r>
        <w:t xml:space="preserve">Date</w:t>
      </w:r>
    </w:p>
    <w:p>
      <w:pPr>
        <w:pStyle w:val="BodyText"/>
      </w:pPr>
      <w:r>
        <w:t xml:space="preserve">: May 24, 2024</w:t>
      </w:r>
    </w:p>
    <w:p>
      <w:pPr>
        <w:pStyle w:val="BodyText"/>
      </w:pPr>
      <w:r>
        <w:t xml:space="preserve">To:</w:t>
      </w:r>
    </w:p>
    <w:p>
      <w:pPr>
        <w:pStyle w:val="BodyText"/>
      </w:pPr>
      <w:r>
        <w:t xml:space="preserve">Distribution List (Faculty Board)&lt; td &gt;From :&lt; td &gt;Lead Research Analyst</w:t>
      </w:r>
    </w:p>
    <w:bookmarkEnd w:id="20"/>
    <w:bookmarkStart w:id="21" w:name="executive-summary"/>
    <w:p>
      <w:pPr>
        <w:pStyle w:val="Heading1"/>
      </w:pPr>
      <w:r>
        <w:t xml:space="preserve">Executive Summary</w:t>
      </w:r>
    </w:p>
    <w:p>
      <w:pPr>
        <w:pStyle w:val="FirstParagraph"/>
      </w:pPr>
      <w:r>
        <w:t xml:space="preserve">The following Lab Report provides a comprehensive evaluation of the operational dynamics, pedagogical requirements, and sociocultural expectations associated with the role of a</w:t>
      </w:r>
      <w:r>
        <w:t xml:space="preserve"> </w:t>
      </w:r>
      <w:r>
        <w:rPr>
          <w:bCs/>
          <w:b/>
        </w:rPr>
        <w:t xml:space="preserve">University Lecturer</w:t>
      </w:r>
      <w:r>
        <w:t xml:space="preserve">. The scope of this analysis is strictly bound to the academic environment located within</w:t>
      </w:r>
      <w:r>
        <w:t xml:space="preserve"> </w:t>
      </w:r>
      <w:r>
        <w:rPr>
          <w:bCs/>
          <w:b/>
        </w:rPr>
        <w:t xml:space="preserve">Netherlands Amsterdam</w:t>
      </w:r>
      <w:r>
        <w:t xml:space="preserve">, acknowledging that while academic standards are globally comparable, specific regulatory frameworks and cultural nuances in Amsterdam require specialized adaptation. This document serves as a foundational reference for understanding how lecturers operate within the Dutch higher education system.</w:t>
      </w:r>
    </w:p>
    <w:bookmarkEnd w:id="21"/>
    <w:bookmarkStart w:id="22" w:name="objective-of-the-study"/>
    <w:p>
      <w:pPr>
        <w:pStyle w:val="Heading1"/>
      </w:pPr>
      <w:r>
        <w:t xml:space="preserve">1.0 Objective of the Study</w:t>
      </w:r>
    </w:p>
    <w:p>
      <w:pPr>
        <w:pStyle w:val="FirstParagraph"/>
      </w:pPr>
      <w:r>
        <w:t xml:space="preserve">The primary objective of this lab report is to dissect the multifaceted responsibilities of a</w:t>
      </w:r>
      <w:r>
        <w:t xml:space="preserve"> </w:t>
      </w:r>
      <w:r>
        <w:rPr>
          <w:bCs/>
          <w:b/>
        </w:rPr>
        <w:t xml:space="preserve">University Lecturer</w:t>
      </w:r>
      <w:r>
        <w:t xml:space="preserve">. Specifically, it aims to determine how these professionals navigate the intersection of high-level research, student-centric teaching methodologies, and institutional service within</w:t>
      </w:r>
      <w:r>
        <w:t xml:space="preserve"> </w:t>
      </w:r>
      <w:r>
        <w:rPr>
          <w:bCs/>
          <w:b/>
        </w:rPr>
        <w:t xml:space="preserve">Netherlands Amsterdam</w:t>
      </w:r>
      <w:r>
        <w:t xml:space="preserve">. By analyzing these variables, we seek to highlight the unique challenges faced by lecturers in one of Europe's most competitive academic hubs.</w:t>
      </w:r>
    </w:p>
    <w:bookmarkEnd w:id="22"/>
    <w:bookmarkStart w:id="23" w:name="X25b7f325b7368cce40e2d849521115d56d8e6fb"/>
    <w:p>
      <w:pPr>
        <w:pStyle w:val="Heading1"/>
      </w:pPr>
      <w:r>
        <w:t xml:space="preserve">2.0 Contextual Background: The Academic Landscape of Netherlands Amsterdam</w:t>
      </w:r>
    </w:p>
    <w:p>
      <w:pPr>
        <w:pStyle w:val="FirstParagraph"/>
      </w:pPr>
      <w:r>
        <w:t xml:space="preserve">The city of</w:t>
      </w:r>
      <w:r>
        <w:t xml:space="preserve"> </w:t>
      </w:r>
      <w:r>
        <w:rPr>
          <w:bCs/>
          <w:b/>
        </w:rPr>
        <w:t xml:space="preserve">Netherlands Amsterdam</w:t>
      </w:r>
      <w:r>
        <w:t xml:space="preserve"> </w:t>
      </w:r>
      <w:r>
        <w:t xml:space="preserve">hosts several prestigious institutions, including the University of Amsterdam (UvA) and Vrije Universiteit Amsterdam (VU). These institutions are characterized by a high degree of internationalization. Unlike some other global cities, the academic culture in</w:t>
      </w:r>
      <w:r>
        <w:t xml:space="preserve"> </w:t>
      </w:r>
      <w:r>
        <w:rPr>
          <w:bCs/>
          <w:b/>
        </w:rPr>
        <w:t xml:space="preserve">Netherlands Amsterdam</w:t>
      </w:r>
      <w:r>
        <w:t xml:space="preserve"> </w:t>
      </w:r>
      <w:r>
        <w:t xml:space="preserve">is deeply rooted in egalitarianism and direct communication. For a</w:t>
      </w:r>
      <w:r>
        <w:t xml:space="preserve"> </w:t>
      </w:r>
      <w:r>
        <w:rPr>
          <w:bCs/>
          <w:b/>
        </w:rPr>
        <w:t xml:space="preserve">University Lecturer</w:t>
      </w:r>
      <w:r>
        <w:t xml:space="preserve">, this means that the traditional hierarchical distance between professor and student is significantly reduced. The lecturer is expected to act not merely as an authority figure but as a facilitator of knowledge, fostering an environment where critical inquiry is encouraged openly.</w:t>
      </w:r>
    </w:p>
    <w:bookmarkEnd w:id="23"/>
    <w:bookmarkStart w:id="27" w:name="X94a84cee0f33d2650d9889afd78055929808422"/>
    <w:p>
      <w:pPr>
        <w:pStyle w:val="Heading1"/>
      </w:pPr>
      <w:r>
        <w:t xml:space="preserve">3.0 Methodology: Deconstructing the Lecturer Role</w:t>
      </w:r>
    </w:p>
    <w:p>
      <w:pPr>
        <w:pStyle w:val="FirstParagraph"/>
      </w:pPr>
      <w:r>
        <w:t xml:space="preserve">To understand the</w:t>
      </w:r>
      <w:r>
        <w:t xml:space="preserve"> </w:t>
      </w:r>
      <w:r>
        <w:rPr>
          <w:bCs/>
          <w:b/>
        </w:rPr>
        <w:t xml:space="preserve">University Lecturer</w:t>
      </w:r>
      <w:r>
        <w:t xml:space="preserve">, this report breaks down their role into three core pillars: Teaching (Teaching), Research, and Community Service. This tripartite division is standard across European academia but manifests distinctly in</w:t>
      </w:r>
      <w:r>
        <w:t xml:space="preserve"> </w:t>
      </w:r>
      <w:r>
        <w:rPr>
          <w:bCs/>
          <w:b/>
        </w:rPr>
        <w:t xml:space="preserve">Netherlands Amsterdam</w:t>
      </w:r>
      <w:r>
        <w:t xml:space="preserve">.</w:t>
      </w:r>
    </w:p>
    <w:bookmarkStart w:id="24" w:name="Xad970e9addad4f3247f4c38ef1f469184ff9b4f"/>
    <w:p>
      <w:pPr>
        <w:pStyle w:val="Heading2"/>
      </w:pPr>
      <w:r>
        <w:t xml:space="preserve">3.1 Pillar One: Pedagogical Engagement &amp; Teaching</w:t>
      </w:r>
    </w:p>
    <w:p>
      <w:pPr>
        <w:pStyle w:val="FirstParagraph"/>
      </w:pPr>
      <w:r>
        <w:t xml:space="preserve">In the context of</w:t>
      </w:r>
      <w:r>
        <w:t xml:space="preserve"> </w:t>
      </w:r>
      <w:r>
        <w:rPr>
          <w:bCs/>
          <w:b/>
        </w:rPr>
        <w:t xml:space="preserve">Netherlands Amsterdam</w:t>
      </w:r>
      <w:r>
        <w:t xml:space="preserve">, teaching is not viewed as a static transfer of information. The approach is student-centered. A</w:t>
      </w:r>
      <w:r>
        <w:t xml:space="preserve"> </w:t>
      </w:r>
      <w:r>
        <w:rPr>
          <w:bCs/>
          <w:b/>
        </w:rPr>
        <w:t xml:space="preserve">University Lecturer</w:t>
      </w:r>
      <w:r>
        <w:t xml:space="preserve"> </w:t>
      </w:r>
      <w:r>
        <w:t xml:space="preserve">in this region utilizes active learning strategies, problem-based learning (PBL), and seminar-style discussions. The expectation is high regarding English proficiency, given the international nature of the student body in Amsterdam.</w:t>
      </w:r>
    </w:p>
    <w:p>
      <w:pPr>
        <w:numPr>
          <w:ilvl w:val="0"/>
          <w:numId w:val="1001"/>
        </w:numPr>
        <w:pStyle w:val="Compact"/>
      </w:pPr>
      <w:r>
        <w:rPr>
          <w:bCs/>
          <w:b/>
        </w:rPr>
        <w:t xml:space="preserve">Critical Thinking:</w:t>
      </w:r>
      <w:r>
        <w:t xml:space="preserve"> </w:t>
      </w:r>
      <w:r>
        <w:t xml:space="preserve">Lecturers must guide students to challenge assumptions, a core value in Dutch academic culture.</w:t>
      </w:r>
    </w:p>
    <w:p>
      <w:pPr>
        <w:numPr>
          <w:ilvl w:val="0"/>
          <w:numId w:val="1001"/>
        </w:numPr>
        <w:pStyle w:val="Compact"/>
      </w:pPr>
      <w:r>
        <w:rPr>
          <w:bCs/>
          <w:b/>
        </w:rPr>
        <w:t xml:space="preserve">Digital Integration:</w:t>
      </w:r>
      <w:r>
        <w:t xml:space="preserve"> </w:t>
      </w:r>
      <w:r>
        <w:t xml:space="preserve">Post-pandemic adaptations have integrated robust digital learning environments (such as Brightspace) into the daily routine of every lecturer.</w:t>
      </w:r>
    </w:p>
    <w:p>
      <w:pPr>
        <w:numPr>
          <w:ilvl w:val="0"/>
          <w:numId w:val="1001"/>
        </w:numPr>
        <w:pStyle w:val="Compact"/>
      </w:pPr>
      <w:r>
        <w:rPr>
          <w:bCs/>
          <w:b/>
        </w:rPr>
        <w:t xml:space="preserve">Inclusivity:</w:t>
      </w:r>
      <w:r>
        <w:t xml:space="preserve"> </w:t>
      </w:r>
      <w:r>
        <w:t xml:space="preserve">There is a mandated focus on diversity and inclusion within lecture halls in Amsterdam, requiring lecturers to adapt their materials to ensure accessibility for all students.</w:t>
      </w:r>
    </w:p>
    <w:bookmarkEnd w:id="24"/>
    <w:bookmarkStart w:id="25" w:name="pillar-two-research-output-innovation"/>
    <w:p>
      <w:pPr>
        <w:pStyle w:val="Heading2"/>
      </w:pPr>
      <w:r>
        <w:t xml:space="preserve">3.2 Pillar Two: Research Output &amp; Innovation</w:t>
      </w:r>
    </w:p>
    <w:p>
      <w:pPr>
        <w:pStyle w:val="FirstParagraph"/>
      </w:pPr>
      <w:r>
        <w:t xml:space="preserve">The identity of a</w:t>
      </w:r>
      <w:r>
        <w:t xml:space="preserve"> </w:t>
      </w:r>
      <w:r>
        <w:rPr>
          <w:bCs/>
          <w:b/>
        </w:rPr>
        <w:t xml:space="preserve">University Lecturer</w:t>
      </w:r>
      <w:r>
        <w:t xml:space="preserve">—often interchangeably referred to as a researcher-practitioner—relies heavily on research output. In</w:t>
      </w:r>
      <w:r>
        <w:t xml:space="preserve"> </w:t>
      </w:r>
      <w:r>
        <w:rPr>
          <w:bCs/>
          <w:b/>
        </w:rPr>
        <w:t xml:space="preserve">Netherlands Amsterdam</w:t>
      </w:r>
      <w:r>
        <w:t xml:space="preserve">, the pressure to publish in high-impact journals is substantial. However, unlike purely theoretical roles, local lecturers are often encouraged to engage with the city's vibrant ecosystem of startups, think tanks, and cultural institutions. The "Triple Helix" model (government-industry-university collaboration) is prevalent here.</w:t>
      </w:r>
    </w:p>
    <w:p>
      <w:pPr>
        <w:pStyle w:val="BodyText"/>
      </w:pPr>
      <w:r>
        <w:t xml:space="preserve">This aspect of the role requires</w:t>
      </w:r>
      <w:r>
        <w:t xml:space="preserve"> </w:t>
      </w:r>
      <w:r>
        <w:rPr>
          <w:bCs/>
          <w:b/>
        </w:rPr>
        <w:t xml:space="preserve">University Lecturers</w:t>
      </w:r>
      <w:r>
        <w:t xml:space="preserve"> </w:t>
      </w:r>
      <w:r>
        <w:t xml:space="preserve">to secure external funding and maintain active partnerships. The research does not happen in a vacuum; it is deeply embedded in the societal context of Amsterdam, addressing issues ranging from urban planning and sustainability to digital ethics.</w:t>
      </w:r>
    </w:p>
    <w:bookmarkEnd w:id="25"/>
    <w:bookmarkStart w:id="26" w:name="X302a68373b11bb446c2af0d35c2575c5a3e4c2d"/>
    <w:p>
      <w:pPr>
        <w:pStyle w:val="Heading2"/>
      </w:pPr>
      <w:r>
        <w:t xml:space="preserve">3.3 Pillar Three: Institutional Service &amp; Governance</w:t>
      </w:r>
    </w:p>
    <w:p>
      <w:pPr>
        <w:pStyle w:val="FirstParagraph"/>
      </w:pPr>
      <w:r>
        <w:t xml:space="preserve">Governance in Dutch universities is consensus-driven. A</w:t>
      </w:r>
      <w:r>
        <w:t xml:space="preserve"> </w:t>
      </w:r>
      <w:r>
        <w:rPr>
          <w:bCs/>
          <w:b/>
        </w:rPr>
        <w:t xml:space="preserve">University Lecturer</w:t>
      </w:r>
      <w:r>
        <w:t xml:space="preserve"> </w:t>
      </w:r>
      <w:r>
        <w:t xml:space="preserve">is expected to participate in departmental meetings, curriculum development committees, and policy reviews. The flat organizational structure of institutions in</w:t>
      </w:r>
      <w:r>
        <w:t xml:space="preserve"> </w:t>
      </w:r>
      <w:r>
        <w:rPr>
          <w:bCs/>
          <w:b/>
        </w:rPr>
        <w:t xml:space="preserve">Netherlands Amsterdam</w:t>
      </w:r>
      <w:r>
        <w:t xml:space="preserve"> </w:t>
      </w:r>
      <w:r>
        <w:t xml:space="preserve">means that lecturers have a genuine voice in decision-making processes. This participation is crucial for maintaining the democratic integrity of the university environment.</w:t>
      </w:r>
    </w:p>
    <w:bookmarkEnd w:id="26"/>
    <w:bookmarkEnd w:id="27"/>
    <w:bookmarkStart w:id="28" w:name="X297d8b8ba1680de527022b43d0714d316061f3a"/>
    <w:p>
      <w:pPr>
        <w:pStyle w:val="Heading1"/>
      </w:pPr>
      <w:r>
        <w:t xml:space="preserve">4.0 Cultural &amp; Linguistic Adaptation Challenges</w:t>
      </w:r>
    </w:p>
    <w:p>
      <w:pPr>
        <w:pStyle w:val="FirstParagraph"/>
      </w:pPr>
      <w:r>
        <w:t xml:space="preserve">A significant variable affecting the performance of any</w:t>
      </w:r>
      <w:r>
        <w:t xml:space="preserve"> </w:t>
      </w:r>
      <w:r>
        <w:rPr>
          <w:bCs/>
          <w:b/>
        </w:rPr>
        <w:t xml:space="preserve">University Lecturer</w:t>
      </w:r>
      <w:r>
        <w:t xml:space="preserve"> </w:t>
      </w:r>
      <w:r>
        <w:t xml:space="preserve">is cultural adaptation. While English is the lingua franca for academic discourse in</w:t>
      </w:r>
      <w:r>
        <w:t xml:space="preserve"> </w:t>
      </w:r>
      <w:r>
        <w:rPr>
          <w:bCs/>
          <w:b/>
        </w:rPr>
        <w:t xml:space="preserve">Netherlands Amsterdam</w:t>
      </w:r>
      <w:r>
        <w:t xml:space="preserve">, the underlying cultural logic remains Dutch. This includes a directness in feedback that international staff might initially misinterpret as rudeness. Successful lecturers must master "Dutch directness," learning to provide and receive critical feedback without personal offense.</w:t>
      </w:r>
    </w:p>
    <w:p>
      <w:pPr>
        <w:pStyle w:val="BodyText"/>
      </w:pPr>
      <w:r>
        <w:t xml:space="preserve">Furthermore, work-life balance is strictly protected in the Netherlands. A</w:t>
      </w:r>
      <w:r>
        <w:t xml:space="preserve"> </w:t>
      </w:r>
      <w:r>
        <w:rPr>
          <w:bCs/>
          <w:b/>
        </w:rPr>
        <w:t xml:space="preserve">University Lecturer</w:t>
      </w:r>
      <w:r>
        <w:t xml:space="preserve"> </w:t>
      </w:r>
      <w:r>
        <w:t xml:space="preserve">operating in Amsterdam typically adheres to a 38-hour work week with substantial holiday allowances. Respecting these boundaries is not just a legal requirement but a cultural norm that influences how teaching loads and research deadlines are managed.</w:t>
      </w:r>
    </w:p>
    <w:bookmarkEnd w:id="28"/>
    <w:bookmarkStart w:id="29" w:name="X9b8841689b89dd72eb284e2e08429bdd5008f11"/>
    <w:p>
      <w:pPr>
        <w:pStyle w:val="Heading1"/>
      </w:pPr>
      <w:r>
        <w:t xml:space="preserve">5.0 Discussion: The Impact on Student Outcomes</w:t>
      </w:r>
    </w:p>
    <w:p>
      <w:pPr>
        <w:pStyle w:val="FirstParagraph"/>
      </w:pPr>
      <w:r>
        <w:t xml:space="preserve">The analysis suggests that</w:t>
      </w:r>
      <w:r>
        <w:t xml:space="preserve"> </w:t>
      </w:r>
      <w:r>
        <w:rPr>
          <w:bCs/>
          <w:b/>
        </w:rPr>
        <w:t xml:space="preserve">University Lecturers</w:t>
      </w:r>
      <w:r>
        <w:t xml:space="preserve"> </w:t>
      </w:r>
      <w:r>
        <w:t xml:space="preserve">who fully embrace the specificities of the</w:t>
      </w:r>
      <w:r>
        <w:t xml:space="preserve"> </w:t>
      </w:r>
      <w:r>
        <w:rPr>
          <w:bCs/>
          <w:b/>
        </w:rPr>
        <w:t xml:space="preserve">Netherlands Amsterdam</w:t>
      </w:r>
      <w:r>
        <w:t xml:space="preserve"> </w:t>
      </w:r>
      <w:r>
        <w:t xml:space="preserve">context tend to produce superior student outcomes. By adopting a collaborative rather than authoritarian teaching style, they align with student expectations in this region. The integration of local Amsterdam-based case studies into curricula further enhances relevance, bridging the gap between theoretical knowledge and practical application.</w:t>
      </w:r>
    </w:p>
    <w:bookmarkEnd w:id="29"/>
    <w:bookmarkStart w:id="30" w:name="conclusion"/>
    <w:p>
      <w:pPr>
        <w:pStyle w:val="Heading1"/>
      </w:pPr>
      <w:r>
        <w:t xml:space="preserve">6.0 Conclusion</w:t>
      </w:r>
    </w:p>
    <w:p>
      <w:pPr>
        <w:pStyle w:val="FirstParagraph"/>
      </w:pPr>
      <w:r>
        <w:t xml:space="preserve">In conclusion, the role of a</w:t>
      </w:r>
      <w:r>
        <w:t xml:space="preserve"> </w:t>
      </w:r>
      <w:r>
        <w:rPr>
          <w:bCs/>
          <w:b/>
        </w:rPr>
        <w:t xml:space="preserve">University Lecturer</w:t>
      </w:r>
      <w:r>
        <w:t xml:space="preserve">—particularly within the specific academic ecosystem of</w:t>
      </w:r>
      <w:r>
        <w:t xml:space="preserve"> </w:t>
      </w:r>
      <w:r>
        <w:rPr>
          <w:bCs/>
          <w:b/>
        </w:rPr>
        <w:t xml:space="preserve">Netherlands Amsterdam</w:t>
      </w:r>
      <w:r>
        <w:t xml:space="preserve">—is complex and multifaceted. It demands a balance between rigorous academic research, innovative pedagogical practices, and active civic engagement. The lecturer is not merely an employee of the university but a stakeholder in the city's intellectual development.</w:t>
      </w:r>
    </w:p>
    <w:p>
      <w:pPr>
        <w:pStyle w:val="BodyText"/>
      </w:pPr>
      <w:r>
        <w:t xml:space="preserve">The findings of this Lab Report indicate that success in this role requires more than just subject matter expertise; it necessitates cultural agility, administrative competence, and a deep commitment to the egalitarian values inherent to Dutch higher education. Future studies should focus on longitudinal data regarding lecturer satisfaction and student performance metrics specifically within</w:t>
      </w:r>
      <w:r>
        <w:t xml:space="preserve"> </w:t>
      </w:r>
      <w:r>
        <w:rPr>
          <w:bCs/>
          <w:b/>
        </w:rPr>
        <w:t xml:space="preserve">Netherlands Amsterdam</w:t>
      </w:r>
      <w:r>
        <w:t xml:space="preserve">.</w:t>
      </w:r>
    </w:p>
    <w:bookmarkEnd w:id="30"/>
    <w:bookmarkStart w:id="31" w:name="references-appendices"/>
    <w:p>
      <w:pPr>
        <w:pStyle w:val="Heading1"/>
      </w:pPr>
      <w:r>
        <w:t xml:space="preserve">7.0 References &amp; Appendices</w:t>
      </w:r>
    </w:p>
    <w:p>
      <w:pPr>
        <w:pStyle w:val="FirstParagraph"/>
      </w:pPr>
      <w:r>
        <w:rPr>
          <w:iCs/>
          <w:i/>
        </w:rPr>
        <w:t xml:space="preserve">Note: All data utilized in this Lab Report is derived from internal HR benchmarks, faculty handbooks from major Amsterdam universities, and pedagogical frameworks established by the Dutch-Flemish accreditation organization (NVAO).</w:t>
      </w:r>
    </w:p>
    <w:p>
      <w:pPr>
        <w:pStyle w:val="BodyText"/>
      </w:pPr>
      <w:r>
        <w:t xml:space="preserve">End of Lab Report Document.</w:t>
      </w:r>
      <w:r>
        <w:br/>
      </w:r>
      <w:r>
        <w:t xml:space="preserve">Status: Final Draft</w:t>
      </w:r>
      <w:r>
        <w:br/>
      </w:r>
    </w:p>
    <w:p>
      <w:pPr>
        <w:pStyle w:val="BodyText"/>
      </w:pPr>
      <w:r>
        <w:t xml:space="preserve">Classification: Internal Use Only&lt; br /&gt;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University Lecturer Role in Netherlands Amsterdam</dc:title>
  <dc:creator/>
  <dc:language>en</dc:language>
  <cp:keywords/>
  <dcterms:created xsi:type="dcterms:W3CDTF">2026-07-29T07:00:21Z</dcterms:created>
  <dcterms:modified xsi:type="dcterms:W3CDTF">2026-07-29T07:00:21Z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