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Moscow,</w:t>
      </w:r>
      <w:r>
        <w:t xml:space="preserve"> </w:t>
      </w:r>
      <w:r>
        <w:t xml:space="preserve">Russia</w:t>
      </w:r>
    </w:p>
    <w:bookmarkStart w:id="32" w:name="laboratory-report-on-academic-operations"/>
    <w:p>
      <w:pPr>
        <w:pStyle w:val="Heading1"/>
      </w:pPr>
      <w:r>
        <w:t xml:space="preserve">Laboratory Report on Academic Operations</w:t>
      </w:r>
    </w:p>
    <w:p>
      <w:pPr>
        <w:pStyle w:val="FirstParagraph"/>
      </w:pPr>
      <w:r>
        <w:rPr>
          <w:bCs/>
          <w:b/>
        </w:rPr>
        <w:t xml:space="preserve">Title:</w:t>
      </w:r>
    </w:p>
    <w:p>
      <w:pPr>
        <w:pStyle w:val="BodyText"/>
      </w:pPr>
      <w:r>
        <w:t xml:space="preserve">An Empirical Analysis of the University Lecturer Professional Profile, Pedagogical Methodology, and Sociocultural Integration in Moscow, Russia.</w:t>
      </w:r>
    </w:p>
    <w:p>
      <w:pPr>
        <w:pStyle w:val="BodyText"/>
      </w:pPr>
      <w:r>
        <w:rPr>
          <w:bCs/>
          <w:b/>
        </w:rPr>
        <w:t xml:space="preserve">Date:</w:t>
      </w:r>
    </w:p>
    <w:p>
      <w:pPr>
        <w:pStyle w:val="BodyText"/>
      </w:pPr>
      <w:r>
        <w:t xml:space="preserve">October 26, 2023</w:t>
      </w:r>
    </w:p>
    <w:p>
      <w:pPr>
        <w:pStyle w:val="BodyText"/>
      </w:pPr>
      <w:r>
        <w:rPr>
          <w:bCs/>
          <w:b/>
        </w:rPr>
        <w:t xml:space="preserve">Location of Study:</w:t>
      </w:r>
    </w:p>
    <w:p>
      <w:pPr>
        <w:pStyle w:val="BodyText"/>
      </w:pPr>
      <w:r>
        <w:t xml:space="preserve">Moscow Region Federation of Russia</w:t>
      </w:r>
    </w:p>
    <w:bookmarkStart w:id="20" w:name="abstract"/>
    <w:p>
      <w:pPr>
        <w:pStyle w:val="Heading3"/>
      </w:pPr>
      <w:r>
        <w:t xml:space="preserve">Abstract</w:t>
      </w:r>
    </w:p>
    <w:p>
      <w:pPr>
        <w:pStyle w:val="FirstParagraph"/>
      </w:pPr>
      <w:r>
        <w:t xml:space="preserve">This laboratory report serves as a comprehensive examination of the role, responsibilities, and environmental context of a University Lecturer operating within the higher education sector in Moscow. The document analyzes the unique pedagogical demands placed upon academic staff in Russia's capital city. It explores how historical academic traditions intersect with modern educational reforms. The findings indicate that being a University Lecturer in Moscow requires not only subject-matter expertise but also significant adaptability to both state regulatory frameworks and the diverse cultural landscape of international students residing in Russia.</w:t>
      </w:r>
    </w:p>
    <w:bookmarkEnd w:id="20"/>
    <w:bookmarkStart w:id="21" w:name="introduction"/>
    <w:p>
      <w:pPr>
        <w:pStyle w:val="Heading2"/>
      </w:pPr>
      <w:r>
        <w:t xml:space="preserve">1. Introduction</w:t>
      </w:r>
    </w:p>
    <w:p>
      <w:pPr>
        <w:pStyle w:val="FirstParagraph"/>
      </w:pPr>
      <w:r>
        <w:t xml:space="preserve">The primary objective of this report is to dissect the operational mechanics of the University Lecturer position specifically within the geographic and political boundaries of Moscow, Russia. Moscow stands as a critical hub for higher learning in Eastern Europe, hosting prestigious institutions such as Lomonosov Moscow State University (MSU) and Higher School of Economics (HSE). Consequently, the role of a lecturer here is distinct from similar positions in Western Europe or North America due to specific regional characteristics.</w:t>
      </w:r>
    </w:p>
    <w:p>
      <w:pPr>
        <w:pStyle w:val="BodyText"/>
      </w:pPr>
      <w:r>
        <w:t xml:space="preserve">This study aims to evaluate three core components: the academic rigor required, the administrative burden imposed by Russian federal standards (FSES), and the sociolinguistic challenges faced when teaching a multicultural cohort. By understanding these factors, we can better appreciate why adapting one's teaching style is imperative for success as a University Lecturer in this specific locale.</w:t>
      </w:r>
    </w:p>
    <w:bookmarkEnd w:id="21"/>
    <w:bookmarkStart w:id="24" w:name="methodology-and-contextual-framework"/>
    <w:p>
      <w:pPr>
        <w:pStyle w:val="Heading2"/>
      </w:pPr>
      <w:r>
        <w:t xml:space="preserve">2. Methodology and Contextual Framework</w:t>
      </w:r>
    </w:p>
    <w:p>
      <w:pPr>
        <w:pStyle w:val="FirstParagraph"/>
      </w:pPr>
      <w:r>
        <w:t xml:space="preserve">The data presented in this report was synthesized through an analysis of official job descriptions, pedagogical guidelines from the Russian Ministry of Science and Higher Education, and comparative studies on Eastern European academic structures. The context is strictly defined by the location: Moscow, Russia.</w:t>
      </w:r>
    </w:p>
    <w:bookmarkStart w:id="22" w:name="the-academic-environment-in-moscow"/>
    <w:p>
      <w:pPr>
        <w:pStyle w:val="Heading3"/>
      </w:pPr>
      <w:r>
        <w:t xml:space="preserve">2.1 The Academic Environment in Moscow</w:t>
      </w:r>
    </w:p>
    <w:p>
      <w:pPr>
        <w:pStyle w:val="FirstParagraph"/>
      </w:pPr>
      <w:r>
        <w:t xml:space="preserve">Moscow represents a high-pressure academic environment. The city hosts some of the oldest and most respected universities in Russia, many of which were established during the Tsarist era or flourished under Soviet influence. As a result, there is a deep-seated respect for theoretical foundations and rigorous examination processes. A University Lecturer in this setting must navigate between preserving these traditional academic values and implementing modern digital learning tools.</w:t>
      </w:r>
    </w:p>
    <w:bookmarkEnd w:id="22"/>
    <w:bookmarkStart w:id="23" w:name="regulatory-standards"/>
    <w:p>
      <w:pPr>
        <w:pStyle w:val="Heading3"/>
      </w:pPr>
      <w:r>
        <w:t xml:space="preserve">2.2 Regulatory Standards</w:t>
      </w:r>
    </w:p>
    <w:p>
      <w:pPr>
        <w:pStyle w:val="FirstParagraph"/>
      </w:pPr>
      <w:r>
        <w:t xml:space="preserve">All lectures delivered by faculty members in Moscow must align with the Federal State Educational Standards (FSES). These standards dictate the credit hours, assessment criteria, and learning outcomes for every discipline. Deviation from these protocols can result in severe administrative penalties. Therefore, documentation and record-keeping are as vital to a lecturer's performance as their actual teaching.</w:t>
      </w:r>
    </w:p>
    <w:bookmarkEnd w:id="23"/>
    <w:bookmarkEnd w:id="24"/>
    <w:bookmarkStart w:id="28" w:name="analysis-of-the-university-lecturer-role"/>
    <w:p>
      <w:pPr>
        <w:pStyle w:val="Heading2"/>
      </w:pPr>
      <w:r>
        <w:t xml:space="preserve">3. Analysis of the University Lecturer Role</w:t>
      </w:r>
    </w:p>
    <w:p>
      <w:pPr>
        <w:pStyle w:val="FirstParagraph"/>
      </w:pPr>
      <w:r>
        <w:t xml:space="preserve">The role of a University Lecturer in Russia is multifaceted. It extends far beyond the classroom podium. This section details the specific duties and challenges observed.</w:t>
      </w:r>
    </w:p>
    <w:bookmarkStart w:id="25" w:name="pedagogical-delivery"/>
    <w:p>
      <w:pPr>
        <w:pStyle w:val="Heading3"/>
      </w:pPr>
      <w:r>
        <w:t xml:space="preserve">3.1 Pedagogical Delivery</w:t>
      </w:r>
    </w:p>
    <w:p>
      <w:pPr>
        <w:pStyle w:val="FirstParagraph"/>
      </w:pPr>
      <w:r>
        <w:t xml:space="preserve">In Moscow, lectures are often large-scale events, particularly in introductory courses at major universities like MSU or MGIMO (Moscow State Institute of International Relations). The lecturer must possess strong voice projection and rhetorical skills to engage hundreds of students simultaneously. However, there is a growing trend toward "seminar-style" discussions in smaller groups. The successful University Lecturer blends authoritative lecturing with interactive seminar facilitation.</w:t>
      </w:r>
    </w:p>
    <w:bookmarkEnd w:id="25"/>
    <w:bookmarkStart w:id="26" w:name="language-proficiency"/>
    <w:p>
      <w:pPr>
        <w:pStyle w:val="Heading3"/>
      </w:pPr>
      <w:r>
        <w:t xml:space="preserve">3.2 Language Proficiency</w:t>
      </w:r>
    </w:p>
    <w:p>
      <w:pPr>
        <w:pStyle w:val="FirstParagraph"/>
      </w:pPr>
      <w:r>
        <w:t xml:space="preserve">A critical variable in this report is language. While many international programs in Moscow are conducted entirely in English, the majority of undergraduate education remains in Russian. For a lecturer teaching Russian students, fluency is mandatory for nuanced discussions on ethics, law, and literature. Conversely, for lecturers teaching international students about Russia or global topics within Moscow universities, cultural sensitivity is paramount. Misunderstandings often arise not from language barriers alone but from differing cultural expectations of the teacher-student hierarchy.</w:t>
      </w:r>
    </w:p>
    <w:bookmarkEnd w:id="26"/>
    <w:bookmarkStart w:id="27" w:name="research-expectations"/>
    <w:p>
      <w:pPr>
        <w:pStyle w:val="Heading3"/>
      </w:pPr>
      <w:r>
        <w:t xml:space="preserve">3.3 Research Expectations</w:t>
      </w:r>
    </w:p>
    <w:p>
      <w:pPr>
        <w:pStyle w:val="FirstParagraph"/>
      </w:pPr>
      <w:r>
        <w:t xml:space="preserve">Institutional prestige in Moscow is heavily tied to research output. A University Lecturer is typically required to publish regularly in indexed journals (such as those included in the Russian Science Citation Index or Scopus). This dual burden of teaching and research creates a high-stress environment. The "publish or perish" culture, while historically associated with Western academia, has become increasingly prevalent among academic staff in Moscow as Russia seeks to integrate more deeply into the global scientific community.</w:t>
      </w:r>
    </w:p>
    <w:bookmarkEnd w:id="27"/>
    <w:bookmarkEnd w:id="28"/>
    <w:bookmarkStart w:id="29" w:name="sociocultural-dynamics"/>
    <w:p>
      <w:pPr>
        <w:pStyle w:val="Heading2"/>
      </w:pPr>
      <w:r>
        <w:t xml:space="preserve">4. Sociocultural Dynamics</w:t>
      </w:r>
    </w:p>
    <w:p>
      <w:pPr>
        <w:pStyle w:val="FirstParagraph"/>
      </w:pPr>
      <w:r>
        <w:t xml:space="preserve">The social fabric of Moscow adds another layer of complexity to the lecturer's role.</w:t>
      </w:r>
    </w:p>
    <w:p>
      <w:pPr>
        <w:numPr>
          <w:ilvl w:val="0"/>
          <w:numId w:val="1001"/>
        </w:numPr>
        <w:pStyle w:val="Compact"/>
      </w:pPr>
      <w:r>
        <w:rPr>
          <w:bCs/>
          <w:b/>
        </w:rPr>
        <w:t xml:space="preserve">Diversity:</w:t>
      </w:r>
      <w:r>
        <w:t xml:space="preserve"> </w:t>
      </w:r>
      <w:r>
        <w:t xml:space="preserve">Moscow attracts students from across the former Soviet Union, Asia, Africa, and Latin America. A University Lecturer must be culturally competent to handle diverse viewpoints in subjects such as history, politics, and sociology.</w:t>
      </w:r>
    </w:p>
    <w:p>
      <w:pPr>
        <w:numPr>
          <w:ilvl w:val="0"/>
          <w:numId w:val="1001"/>
        </w:numPr>
        <w:pStyle w:val="Compact"/>
      </w:pPr>
      <w:r>
        <w:rPr>
          <w:bCs/>
          <w:b/>
        </w:rPr>
        <w:t xml:space="preserve">Bureaucracy:</w:t>
      </w:r>
      <w:r>
        <w:t xml:space="preserve"> </w:t>
      </w:r>
      <w:r>
        <w:t xml:space="preserve">The administrative culture in Russian universities can be rigid. Lecturers often spend significant time navigating internal university bureaucracy rather than focusing on pedagogy. This includes dealing with extensive paperwork for student grading, attendance sheets, and ethical compliance forms.</w:t>
      </w:r>
    </w:p>
    <w:p>
      <w:pPr>
        <w:numPr>
          <w:ilvl w:val="0"/>
          <w:numId w:val="1001"/>
        </w:numPr>
        <w:pStyle w:val="Compact"/>
      </w:pPr>
      <w:r>
        <w:rPr>
          <w:bCs/>
          <w:b/>
        </w:rPr>
        <w:t xml:space="preserve">Safety and Security:</w:t>
      </w:r>
      <w:r>
        <w:t xml:space="preserve"> </w:t>
      </w:r>
      <w:r>
        <w:t xml:space="preserve">While Moscow is generally safe, the geopolitical situation in Russia affects international staff morale. Lecturers often act as informal cultural ambassadors, helping students navigate visa regulations and local laws.</w:t>
      </w:r>
    </w:p>
    <w:bookmarkEnd w:id="29"/>
    <w:bookmarkStart w:id="30" w:name="comparative-observations"/>
    <w:p>
      <w:pPr>
        <w:pStyle w:val="Heading2"/>
      </w:pPr>
      <w:r>
        <w:t xml:space="preserve">5. Comparative Observations</w:t>
      </w:r>
    </w:p>
    <w:p>
      <w:pPr>
        <w:pStyle w:val="FirstParagraph"/>
      </w:pPr>
      <w:r>
        <w:t xml:space="preserve">To contextualize the role of a University Lecturer in Moscow, it is useful to compare it briefly with Western models.</w:t>
      </w:r>
    </w:p>
    <w:p>
      <w:pPr>
        <w:pStyle w:val="BodyText"/>
      </w:pPr>
      <w:r>
        <w:rPr>
          <w:bCs/>
          <w:b/>
        </w:rPr>
        <w:t xml:space="preserve">Factor</w:t>
      </w:r>
    </w:p>
    <w:p>
      <w:pPr>
        <w:pStyle w:val="BodyText"/>
      </w:pPr>
      <w:r>
        <w:rPr>
          <w:bCs/>
          <w:b/>
        </w:rPr>
        <w:t xml:space="preserve">Moscow, Russia</w:t>
      </w:r>
    </w:p>
    <w:p>
      <w:pPr>
        <w:pStyle w:val="BodyText"/>
      </w:pPr>
      <w:r>
        <w:t xml:space="preserve">Western Europe/North America</w:t>
      </w:r>
    </w:p>
    <w:p>
      <w:pPr>
        <w:pStyle w:val="BodyText"/>
      </w:pPr>
      <w:r>
        <w:t xml:space="preserve">Class Size (Intro)</w:t>
      </w:r>
    </w:p>
    <w:p>
      <w:pPr>
        <w:pStyle w:val="BodyText"/>
      </w:pPr>
      <w:r>
        <w:t xml:space="preserve">Often 100+ students</w:t>
      </w:r>
    </w:p>
    <w:p>
      <w:pPr>
        <w:pStyle w:val="BodyText"/>
      </w:pPr>
      <w:r>
        <w:t xml:space="preserve">Varies, often smaller seminars emphasized earlier.</w:t>
      </w:r>
    </w:p>
    <w:p>
      <w:pPr>
        <w:pStyle w:val="BodyText"/>
      </w:pPr>
      <w:r>
        <w:t xml:space="preserve">&lt; td &gt; Assessment Frequency &lt; td &gt; Midterm/Final focus; continuous assessment varies by institution. &lt; TD &gt; Continuous assessment is more common.</w:t>
      </w:r>
    </w:p>
    <w:p>
      <w:pPr>
        <w:pStyle w:val="BodyText"/>
      </w:pPr>
      <w:r>
        <w:t xml:space="preserve">Teacher-Student Hierarchy</w:t>
      </w:r>
    </w:p>
    <w:p>
      <w:pPr>
        <w:pStyle w:val="BodyText"/>
      </w:pPr>
      <w:r>
        <w:t xml:space="preserve">Formal, respectful distance.</w:t>
      </w:r>
    </w:p>
    <w:p>
      <w:pPr>
        <w:pStyle w:val="BodyText"/>
      </w:pPr>
      <w:r>
        <w:t xml:space="preserve">Much more informal and collaborative.</w:t>
      </w:r>
    </w:p>
    <w:p>
      <w:pPr>
        <w:pStyle w:val="BodyText"/>
      </w:pPr>
      <w:r>
        <w:t xml:space="preserve">Bureaucratic Load</w:t>
      </w:r>
    </w:p>
    <w:p>
      <w:pPr>
        <w:pStyle w:val="BodyText"/>
      </w:pPr>
      <w:r>
        <w:t xml:space="preserve">High (Paperwork intensive)</w:t>
      </w:r>
    </w:p>
    <w:p>
      <w:pPr>
        <w:pStyle w:val="BodyText"/>
      </w:pPr>
      <w:r>
        <w:t xml:space="preserve">&lt; TD &gt; Moderate to Low.</w:t>
      </w:r>
    </w:p>
    <w:bookmarkEnd w:id="30"/>
    <w:bookmarkStart w:id="31" w:name="conclusion"/>
    <w:p>
      <w:pPr>
        <w:pStyle w:val="Heading2"/>
      </w:pPr>
      <w:r>
        <w:t xml:space="preserve">6. Conclusion</w:t>
      </w:r>
    </w:p>
    <w:p>
      <w:pPr>
        <w:pStyle w:val="FirstParagraph"/>
      </w:pPr>
      <w:r>
        <w:t xml:space="preserve">This lab report concludes that the position of a University Lecturer in Moscow, Russia, is one of profound responsibility and complexity. It requires a unique synthesis of academic excellence, administrative diligence, and cross-cultural communication skills.</w:t>
      </w:r>
    </w:p>
    <w:p>
      <w:pPr>
        <w:pStyle w:val="BodyText"/>
      </w:pPr>
      <w:r>
        <w:t xml:space="preserve">The findings suggest that success in this role depends less on rigid adherence to traditional lecture formats and more on the ability to adapt to the fluid dynamics of Moscow's international student body while maintaining compliance with strict federal educational standards. The lecturer is not merely an instructor but a mediator between Russian academic traditions and globalized educational expectations.</w:t>
      </w:r>
    </w:p>
    <w:p>
      <w:pPr>
        <w:pStyle w:val="BodyText"/>
      </w:pPr>
      <w:r>
        <w:t xml:space="preserve">Future research should focus on the long-term career progression of foreign versus native lecturers in Moscow and how digital transformation is altering the bureaucratic landscape. However, for immediate practical application, this report confirms that effective teaching in this region demands resilience, linguistic adaptability, and a deep appreciation for the historical weight carried by institutions of higher learning in Russia.</w:t>
      </w:r>
    </w:p>
    <w:p>
      <w:pPr>
        <w:pStyle w:val="BodyText"/>
      </w:pPr>
      <w:r>
        <w:br/>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Moscow, Russia</dc:title>
  <dc:creator/>
  <dc:language>en</dc:language>
  <cp:keywords/>
  <dcterms:created xsi:type="dcterms:W3CDTF">2026-07-29T18:04:05Z</dcterms:created>
  <dcterms:modified xsi:type="dcterms:W3CDTF">2026-07-29T18:04:05Z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