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Performance</w:t>
      </w:r>
      <w:r>
        <w:t xml:space="preserve"> </w:t>
      </w:r>
      <w:r>
        <w:t xml:space="preserve">and</w:t>
      </w:r>
      <w:r>
        <w:t xml:space="preserve"> </w:t>
      </w:r>
      <w:r>
        <w:t xml:space="preserve">Cultural</w:t>
      </w:r>
      <w:r>
        <w:t xml:space="preserve"> </w:t>
      </w:r>
      <w:r>
        <w:t xml:space="preserve">Integration</w:t>
      </w:r>
      <w:r>
        <w:t xml:space="preserve"> </w:t>
      </w:r>
      <w:r>
        <w:t xml:space="preserve">Lab</w:t>
      </w:r>
      <w:r>
        <w:t xml:space="preserve"> </w:t>
      </w:r>
      <w:r>
        <w:t xml:space="preserve">Report:</w:t>
      </w:r>
      <w:r>
        <w:t xml:space="preserve"> </w:t>
      </w:r>
      <w:r>
        <w:t xml:space="preserve">University</w:t>
      </w:r>
      <w:r>
        <w:t xml:space="preserve"> </w:t>
      </w:r>
      <w:r>
        <w:t xml:space="preserve">Lecturer</w:t>
      </w:r>
      <w:r>
        <w:t xml:space="preserve"> </w:t>
      </w:r>
      <w:r>
        <w:t xml:space="preserve">Profile</w:t>
      </w:r>
    </w:p>
    <w:bookmarkStart w:id="28" w:name="X5ab190e777c11ecaed231e18a7de6256076dbab"/>
    <w:p>
      <w:pPr>
        <w:pStyle w:val="Heading1"/>
      </w:pPr>
      <w:r>
        <w:t xml:space="preserve">Laboratory Report on Academic Pedagogical Standards and Cultural Adaptation</w:t>
      </w:r>
    </w:p>
    <w:p>
      <w:pPr>
        <w:pStyle w:val="FirstParagraph"/>
      </w:pPr>
      <w:r>
        <w:rPr>
          <w:bCs/>
          <w:b/>
        </w:rPr>
        <w:t xml:space="preserve">Date:</w:t>
      </w:r>
      <w:r>
        <w:t xml:space="preserve"> </w:t>
      </w:r>
      <w:r>
        <w:t xml:space="preserve">October 26, 2023</w:t>
      </w:r>
      <w:r>
        <w:br/>
      </w:r>
      <w:r>
        <w:rPr>
          <w:bCs/>
          <w:b/>
        </w:rPr>
        <w:t xml:space="preserve">To:</w:t>
      </w:r>
      <w:r>
        <w:t xml:space="preserve">The Department of Higher Education Oversight Committee</w:t>
      </w:r>
      <w:r>
        <w:br/>
      </w:r>
      <w:r>
        <w:rPr>
          <w:bCs/>
          <w:b/>
        </w:rPr>
        <w:t xml:space="preserve">From:</w:t>
      </w:r>
      <w:r>
        <w:t xml:space="preserve"> </w:t>
      </w:r>
      <w:r>
        <w:t xml:space="preserve">Faculty Development and Quality Assurance Unit</w:t>
      </w:r>
      <w:r>
        <w:br/>
      </w:r>
    </w:p>
    <w:p>
      <w:pPr>
        <w:pStyle w:val="BodyText"/>
      </w:pPr>
      <w:r>
        <w:t xml:space="preserve">Subject:A Comprehensive Analysis of the University Lecturer Role within the Context of Saudi Arabia Riyadh</w:t>
      </w:r>
    </w:p>
    <w:p>
      <w:pPr>
        <w:pStyle w:val="BodyText"/>
      </w:pPr>
      <w:r>
        <w:t xml:space="preserve">Lab Report analyzing the operational, pedagogical, and sociocultural dynamics inherent to the position of a</w:t>
      </w:r>
      <w:r>
        <w:t xml:space="preserve"> </w:t>
      </w:r>
      <w:r>
        <w:rPr>
          <w:bCs/>
          <w:b/>
        </w:rPr>
        <w:t xml:space="preserve">University Lecturer</w:t>
      </w:r>
      <w:r>
        <w:t xml:space="preserve">. The scope of this investigation is strictly confined to the educational landscape located in</w:t>
      </w:r>
      <w:r>
        <w:t xml:space="preserve"> </w:t>
      </w:r>
      <w:r>
        <w:rPr>
          <w:bCs/>
          <w:b/>
        </w:rPr>
        <w:t xml:space="preserve">Saudi Arabia Riyadh</w:t>
      </w:r>
      <w:r>
        <w:t xml:space="preserve">, reflecting current Ministry of Education directives and regional cultural expectations.</w:t>
      </w:r>
    </w:p>
    <w:bookmarkStart w:id="20" w:name="introduction-and-objective"/>
    <w:p>
      <w:pPr>
        <w:pStyle w:val="Heading2"/>
      </w:pPr>
      <w:r>
        <w:t xml:space="preserve">1.0 Introduction and Objective</w:t>
      </w:r>
    </w:p>
    <w:p>
      <w:pPr>
        <w:pStyle w:val="FirstParagraph"/>
      </w:pPr>
      <w:r>
        <w:t xml:space="preserve">The primary objective of this study is to deconstruct the multifaceted role of a university lecturer operating within the Kingdom’s capital city,</w:t>
      </w:r>
      <w:r>
        <w:t xml:space="preserve"> </w:t>
      </w:r>
      <w:r>
        <w:rPr>
          <w:bCs/>
          <w:b/>
        </w:rPr>
        <w:t xml:space="preserve">Saudi Arabia Riyadh</w:t>
      </w:r>
      <w:r>
        <w:t xml:space="preserve">. Unlike generic academic descriptions, this report treats the lecturer's performance as a variable in a complex system involving strict regulatory frameworks, rapidly evolving Vision 2030 mandates, and deep-rooted traditional values. The term "Lab Report" is utilized here to denote a rigorous, evidence-based examination of best practices and compliance standards required for academic excellence in this specific geographic location.</w:t>
      </w:r>
    </w:p>
    <w:p>
      <w:pPr>
        <w:pStyle w:val="BodyText"/>
      </w:pPr>
      <w:r>
        <w:t xml:space="preserve">The hypothesis suggests that a successful university lecturer in</w:t>
      </w:r>
      <w:r>
        <w:t xml:space="preserve"> </w:t>
      </w:r>
      <w:r>
        <w:rPr>
          <w:bCs/>
          <w:b/>
        </w:rPr>
        <w:t xml:space="preserve">Saudi Arabia Riyadh</w:t>
      </w:r>
      <w:r>
        <w:t xml:space="preserve"> </w:t>
      </w:r>
      <w:r>
        <w:t xml:space="preserve">must possess not only subject matter expertise but also high levels of cultural intelligence (CQ) and adherence to national ethical codes. This report evaluates these variables through qualitative analysis of job descriptions, regulatory frameworks, and peer-reviewed educational standards.</w:t>
      </w:r>
    </w:p>
    <w:bookmarkEnd w:id="20"/>
    <w:bookmarkStart w:id="23" w:name="X2791ced7b3c5e87ea0a0932a410674513bbaa16"/>
    <w:p>
      <w:pPr>
        <w:pStyle w:val="Heading2"/>
      </w:pPr>
      <w:r>
        <w:t xml:space="preserve">2.0 Regulatory Framework and Environmental Context</w:t>
      </w:r>
    </w:p>
    <w:p>
      <w:pPr>
        <w:pStyle w:val="FirstParagraph"/>
      </w:pPr>
      <w:r>
        <w:t xml:space="preserve">The operational environment for any university lecturer in</w:t>
      </w:r>
      <w:r>
        <w:t xml:space="preserve"> </w:t>
      </w:r>
      <w:r>
        <w:rPr>
          <w:bCs/>
          <w:b/>
        </w:rPr>
        <w:t xml:space="preserve">Saudi Arabia Riyadh</w:t>
      </w:r>
      <w:r>
        <w:t xml:space="preserve"> </w:t>
      </w:r>
      <w:r>
        <w:t xml:space="preserve">is defined by the Supreme Council of Universities and the National Center for Academic Accreditation and Evaluation (NCAAA). This section outlines the "boundary conditions" of our lab report.</w:t>
      </w:r>
    </w:p>
    <w:bookmarkStart w:id="21" w:name="alignment-with-vision-2030"/>
    <w:p>
      <w:pPr>
        <w:pStyle w:val="Heading3"/>
      </w:pPr>
      <w:r>
        <w:t xml:space="preserve">2.1 Alignment with Vision 2030</w:t>
      </w:r>
    </w:p>
    <w:p>
      <w:pPr>
        <w:pStyle w:val="FirstParagraph"/>
      </w:pPr>
      <w:r>
        <w:t xml:space="preserve">Lecturers in Riyadh are no longer viewed solely as transmitters of knowledge. Under the Vision 2030 framework, they are expected to be catalysts for innovation and economic diversification. The lecturer’s curriculum must integrate critical thinking, entrepreneurship, and technological literacy. Failure to align with these national goals is considered a significant performance deficit in this specific regional context.</w:t>
      </w:r>
    </w:p>
    <w:bookmarkEnd w:id="21"/>
    <w:bookmarkStart w:id="22" w:name="compliance-with-local-laws"/>
    <w:p>
      <w:pPr>
        <w:pStyle w:val="Heading3"/>
      </w:pPr>
      <w:r>
        <w:t xml:space="preserve">2.2 Compliance with Local Laws</w:t>
      </w:r>
    </w:p>
    <w:p>
      <w:pPr>
        <w:pStyle w:val="FirstParagraph"/>
      </w:pPr>
      <w:r>
        <w:t xml:space="preserve">All teaching materials and interactions must comply with Islamic law and the Royal Court directives. For an international or expatriate lecturer, understanding the nuances of modesty, gender interaction protocols, and religious holidays is not optional; it is a fundamental job requirement. This report notes that cultural insensitivity can lead to immediate termination, regardless of academic pedigree.</w:t>
      </w:r>
    </w:p>
    <w:bookmarkEnd w:id="22"/>
    <w:bookmarkEnd w:id="23"/>
    <w:bookmarkStart w:id="24" w:name="X7193f841edff91fbecaa7454d89ecf77ae9c34c"/>
    <w:p>
      <w:pPr>
        <w:pStyle w:val="Heading2"/>
      </w:pPr>
      <w:r>
        <w:t xml:space="preserve">3.0 Methodology: The Lecturer’s Core Competencies</w:t>
      </w:r>
    </w:p>
    <w:p>
      <w:pPr>
        <w:pStyle w:val="FirstParagraph"/>
      </w:pPr>
      <w:r>
        <w:t xml:space="preserve">To analyze the effectiveness of a university lecturer in this region, we have categorized their responsibilities into three distinct domains: Pedagogical Execution, Research Output, and Community Engagement.</w:t>
      </w:r>
    </w:p>
    <w:p>
      <w:pPr>
        <w:pStyle w:val="BodyText"/>
      </w:pPr>
      <w:r>
        <w:rPr>
          <w:bCs/>
          <w:b/>
        </w:rPr>
        <w:t xml:space="preserve">Domain</w:t>
      </w:r>
    </w:p>
    <w:p>
      <w:pPr>
        <w:pStyle w:val="BodyText"/>
      </w:pPr>
      <w:r>
        <w:rPr>
          <w:bCs/>
          <w:b/>
        </w:rPr>
        <w:t xml:space="preserve">KPI (Key Performance Indicator)</w:t>
      </w:r>
    </w:p>
    <w:p>
      <w:pPr>
        <w:pStyle w:val="BodyText"/>
      </w:pPr>
      <w:r>
        <w:t xml:space="preserve">Saudi Arabia Riyadh Context</w:t>
      </w:r>
    </w:p>
    <w:p>
      <w:pPr>
        <w:pStyle w:val="BodyText"/>
      </w:pPr>
      <w:r>
        <w:t xml:space="preserve">Pedagogy</w:t>
      </w:r>
    </w:p>
    <w:p>
      <w:pPr>
        <w:pStyle w:val="BodyText"/>
      </w:pPr>
      <w:r>
        <w:t xml:space="preserve">Student Engagement Metrics</w:t>
      </w:r>
    </w:p>
    <w:p>
      <w:pPr>
        <w:pStyle w:val="BodyText"/>
      </w:pPr>
      <w:r>
        <w:t xml:space="preserve">Requires adaptation to hybrid learning models prevalent in Riyadh post-pandemic.</w:t>
      </w:r>
    </w:p>
    <w:p>
      <w:pPr>
        <w:pStyle w:val="BodyText"/>
      </w:pPr>
      <w:r>
        <w:t xml:space="preserve">Research</w:t>
      </w:r>
    </w:p>
    <w:p>
      <w:pPr>
        <w:pStyle w:val="BodyText"/>
      </w:pPr>
      <w:r>
        <w:t xml:space="preserve">In Riyadh, research output is heavily incentivized through university rankings. A lecturer must publish in Q1/Q2 journals. The local context emphasizes research that solves regional problems, such as water scarcity in arid environments or urban planning for a growing metropolis like Riyadh.</w:t>
      </w:r>
    </w:p>
    <w:bookmarkEnd w:id="24"/>
    <w:bookmarkStart w:id="25" w:name="cultural-integration-and-soft-skills"/>
    <w:p>
      <w:pPr>
        <w:pStyle w:val="Heading2"/>
      </w:pPr>
      <w:r>
        <w:t xml:space="preserve">4.0 Cultural Integration and Soft Skills</w:t>
      </w:r>
    </w:p>
    <w:p>
      <w:pPr>
        <w:pStyle w:val="FirstParagraph"/>
      </w:pPr>
      <w:r>
        <w:t xml:space="preserve">This section addresses the "hidden curriculum" of the university lecturer role in</w:t>
      </w:r>
      <w:r>
        <w:t xml:space="preserve"> </w:t>
      </w:r>
      <w:r>
        <w:rPr>
          <w:bCs/>
          <w:b/>
        </w:rPr>
        <w:t xml:space="preserve">Saudi Arabia Riyadh</w:t>
      </w:r>
      <w:r>
        <w:t xml:space="preserve">. Technical skills are insufficient without soft skills tailored to local expectations.</w:t>
      </w:r>
    </w:p>
    <w:p>
      <w:pPr>
        <w:pStyle w:val="BodyText"/>
      </w:pPr>
      <w:r>
        <w:t xml:space="preserve">Communication Style:</w:t>
      </w:r>
    </w:p>
    <w:p>
      <w:pPr>
        <w:pStyle w:val="BodyText"/>
      </w:pPr>
      <w:r>
        <w:t xml:space="preserve">The following table outlines the critical competency matrix required for a university lecturer in this region:</w:t>
      </w:r>
    </w:p>
    <w:p>
      <w:pPr>
        <w:pStyle w:val="BodyText"/>
      </w:pPr>
      <w:r>
        <w:rPr>
          <w:bCs/>
          <w:b/>
        </w:rPr>
        <w:t xml:space="preserve">Pedagogical Strategy</w:t>
      </w:r>
    </w:p>
    <w:p>
      <w:pPr>
        <w:pStyle w:val="BodyText"/>
      </w:pPr>
      <w:r>
        <w:t xml:space="preserve">Cultural Adaptation in Riyadh</w:t>
      </w:r>
    </w:p>
    <w:p>
      <w:pPr>
        <w:pStyle w:val="BodyText"/>
      </w:pPr>
      <w:r>
        <w:rPr>
          <w:bCs/>
          <w:b/>
        </w:rPr>
        <w:t xml:space="preserve">Lecture Delivery</w:t>
      </w:r>
    </w:p>
    <w:p>
      <w:pPr>
        <w:pStyle w:val="BodyText"/>
      </w:pPr>
      <w:r>
        <w:t xml:space="preserve">In</w:t>
      </w:r>
    </w:p>
    <w:p>
      <w:pPr>
        <w:pStyle w:val="BodyText"/>
      </w:pPr>
      <w:r>
        <w:t xml:space="preserve">Saudi Arabia Riyadh</w:t>
      </w:r>
    </w:p>
    <w:p>
      <w:pPr>
        <w:pStyle w:val="BodyText"/>
      </w:pPr>
      <w:r>
        <w:t xml:space="preserve">Lecturers must balance authority with approachability. The hierarchical nature of Saudi society requires respect from students, but the modern pedagogical shift demands student-centered learning.</w:t>
      </w:r>
    </w:p>
    <w:p>
      <w:pPr>
        <w:pStyle w:val="BodyText"/>
      </w:pPr>
      <w:r>
        <w:rPr>
          <w:bCs/>
          <w:b/>
        </w:rPr>
        <w:t xml:space="preserve">Mentorship</w:t>
      </w:r>
    </w:p>
    <w:p>
      <w:pPr>
        <w:pStyle w:val="BodyText"/>
      </w:pPr>
      <w:r>
        <w:t xml:space="preserve">The lecturer often acts as a mentor beyond academics. In Riyadh, this involves understanding family pressures and career aspirations aligned with nationalization (Saudization) policies.</w:t>
      </w:r>
    </w:p>
    <w:p>
      <w:pPr>
        <w:pStyle w:val="BodyText"/>
      </w:pPr>
      <w:r>
        <w:t xml:space="preserve">Digital Literacy</w:t>
      </w:r>
    </w:p>
    <w:p>
      <w:pPr>
        <w:pStyle w:val="BodyText"/>
      </w:pPr>
      <w:r>
        <w:t xml:space="preserve">Riyadh is rapidly becoming a hub for smart cities and AI. Lecturers must integrate these tools into their teaching to remain relevant.</w:t>
      </w:r>
    </w:p>
    <w:bookmarkEnd w:id="25"/>
    <w:bookmarkStart w:id="26" w:name="challenges-and-mitigation-strategies"/>
    <w:p>
      <w:pPr>
        <w:pStyle w:val="Heading2"/>
      </w:pPr>
      <w:r>
        <w:t xml:space="preserve">5.0 Challenges and Mitigation Strategies</w:t>
      </w:r>
    </w:p>
    <w:p>
      <w:pPr>
        <w:pStyle w:val="FirstParagraph"/>
      </w:pPr>
      <w:r>
        <w:t xml:space="preserve">The "Lab Report" analysis identifies several distinct challenges faced by university lecturers in</w:t>
      </w:r>
    </w:p>
    <w:p>
      <w:pPr>
        <w:pStyle w:val="BodyText"/>
      </w:pPr>
      <w:r>
        <w:t xml:space="preserve">Saudi Arabia Riyadh</w:t>
      </w:r>
    </w:p>
    <w:p>
      <w:pPr>
        <w:pStyle w:val="BodyText"/>
      </w:pPr>
      <w:r>
        <w:t xml:space="preserve">:</w:t>
      </w:r>
    </w:p>
    <w:p>
      <w:pPr>
        <w:numPr>
          <w:ilvl w:val="0"/>
          <w:numId w:val="1001"/>
        </w:numPr>
        <w:pStyle w:val="Compact"/>
      </w:pPr>
      <w:r>
        <w:t xml:space="preserve">Mixed Cohorts:</w:t>
      </w:r>
    </w:p>
    <w:p>
      <w:pPr>
        <w:numPr>
          <w:ilvl w:val="0"/>
          <w:numId w:val="1001"/>
        </w:numPr>
        <w:pStyle w:val="Compact"/>
      </w:pPr>
      <w:r>
        <w:t xml:space="preserve">Rapid Technological Change:</w:t>
      </w:r>
    </w:p>
    <w:p>
      <w:pPr>
        <w:numPr>
          <w:ilvl w:val="0"/>
          <w:numId w:val="1001"/>
        </w:numPr>
        <w:pStyle w:val="Compact"/>
      </w:pPr>
      <w:r>
        <w:t xml:space="preserve">Cultural Nuances:</w:t>
      </w:r>
    </w:p>
    <w:bookmarkEnd w:id="26"/>
    <w:bookmarkStart w:id="27" w:name="conclusion"/>
    <w:p>
      <w:pPr>
        <w:pStyle w:val="Heading2"/>
      </w:pPr>
      <w:r>
        <w:t xml:space="preserve">6.0 Conclusion</w:t>
      </w:r>
    </w:p>
    <w:p>
      <w:pPr>
        <w:pStyle w:val="FirstParagraph"/>
      </w:pPr>
      <w:r>
        <w:t xml:space="preserve">This</w:t>
      </w:r>
    </w:p>
    <w:p>
      <w:pPr>
        <w:pStyle w:val="BodyText"/>
      </w:pPr>
      <w:r>
        <w:t xml:space="preserve">Lab Report</w:t>
      </w:r>
    </w:p>
    <w:p>
      <w:pPr>
        <w:pStyle w:val="BodyText"/>
      </w:pPr>
      <w:r>
        <w:t xml:space="preserve">concludes that the role of a</w:t>
      </w:r>
    </w:p>
    <w:p>
      <w:pPr>
        <w:pStyle w:val="BodyText"/>
      </w:pPr>
      <w:r>
        <w:t xml:space="preserve">University Lecturer</w:t>
      </w:r>
    </w:p>
    <w:p>
      <w:pPr>
        <w:pStyle w:val="BodyText"/>
      </w:pPr>
      <w:r>
        <w:t xml:space="preserve">in</w:t>
      </w:r>
    </w:p>
    <w:p>
      <w:pPr>
        <w:pStyle w:val="BodyText"/>
      </w:pPr>
      <w:r>
        <w:t xml:space="preserve">Saudi Arabia Riyadh</w:t>
      </w:r>
    </w:p>
    <w:p>
      <w:pPr>
        <w:pStyle w:val="BodyText"/>
      </w:pPr>
      <w:r>
        <w:t xml:space="preserve">is dynamic, high-stakes, and deeply integrated with national goals. Success is not measured solely by publications but by the ability to navigate the intricate web of cultural respect, regulatory compliance, and educational innovation mandated by Vision 2030.</w:t>
      </w:r>
    </w:p>
    <w:p>
      <w:pPr>
        <w:pStyle w:val="BodyText"/>
      </w:pPr>
      <w:r>
        <w:t xml:space="preserve">For institutions in Riyadh to maintain global competitiveness, they must invest in lecturers who are not only academically rigorous but also culturally agile. The future of higher education in this region depends on this holistic approach to faculty development.</w:t>
      </w:r>
    </w:p>
    <w:p>
      <w:r>
        <w:pict>
          <v:rect style="width:0;height:1.5pt" o:hralign="center" o:hrstd="t" o:hr="t"/>
        </w:pict>
      </w:r>
    </w:p>
    <w:p>
      <w:pPr>
        <w:pStyle w:val="FirstParagraph"/>
      </w:pPr>
      <w:r>
        <w:rPr>
          <w:iCs/>
          <w:i/>
        </w:rPr>
        <w:t xml:space="preserve">This document has been prepared for internal review and strategic planning purposes within the academic community of Riyadh.</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Performance and Cultural Integration Lab Report: University Lecturer Profile</dc:title>
  <dc:creator/>
  <dc:language>en</dc:language>
  <cp:keywords/>
  <dcterms:created xsi:type="dcterms:W3CDTF">2026-07-29T20:28:08Z</dcterms:created>
  <dcterms:modified xsi:type="dcterms:W3CDTF">2026-07-29T20:28:08Z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