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University</w:t>
      </w:r>
      <w:r>
        <w:t xml:space="preserve"> </w:t>
      </w:r>
      <w:r>
        <w:t xml:space="preserve">Lecturers</w:t>
      </w:r>
      <w:r>
        <w:t xml:space="preserve"> </w:t>
      </w:r>
      <w:r>
        <w:t xml:space="preserve">in</w:t>
      </w:r>
      <w:r>
        <w:t xml:space="preserve"> </w:t>
      </w:r>
      <w:r>
        <w:t xml:space="preserve">Thailand,</w:t>
      </w:r>
      <w:r>
        <w:t xml:space="preserve"> </w:t>
      </w:r>
      <w:r>
        <w:t xml:space="preserve">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Research and Higher Education Analysis</w:t>
      </w:r>
      <w:r>
        <w:br/>
      </w:r>
    </w:p>
    <w:p>
      <w:pPr>
        <w:pStyle w:val="BodyText"/>
      </w:pPr>
      <w:r>
        <w:t xml:space="preserve">From:</w:t>
      </w:r>
    </w:p>
    <w:p>
      <w:pPr>
        <w:pStyle w:val="BodyText"/>
      </w:pPr>
      <w:r>
        <w:rPr>
          <w:iCs/>
          <w:i/>
        </w:rPr>
        <w:t xml:space="preserve">Academic Observers Group</w:t>
      </w:r>
    </w:p>
    <w:bookmarkStart w:id="30" w:name="X7788f7c8f7020ffe05531e17150a0dc10028b68"/>
    <w:p>
      <w:pPr>
        <w:pStyle w:val="Heading1"/>
      </w:pPr>
      <w:r>
        <w:t xml:space="preserve">Laboratory Report: The Role and Impact of University Lecturers in Thailand, Bangkok</w:t>
      </w:r>
    </w:p>
    <w:bookmarkStart w:id="20" w:name="executive-summary"/>
    <w:p>
      <w:pPr>
        <w:pStyle w:val="Heading2"/>
      </w:pPr>
      <w:r>
        <w:t xml:space="preserve">Executive Summary</w:t>
      </w:r>
    </w:p>
    <w:p>
      <w:pPr>
        <w:pStyle w:val="FirstParagraph"/>
      </w:pPr>
      <w:r>
        <w:t xml:space="preserve">This laboratory report serves as a comprehensive analysis of the pedagogical, cultural, and academic dynamics surrounding the position of a</w:t>
      </w:r>
      <w:r>
        <w:t xml:space="preserve"> </w:t>
      </w:r>
      <w:r>
        <w:rPr>
          <w:bCs/>
          <w:b/>
        </w:rPr>
        <w:t xml:space="preserve">University Lecturer</w:t>
      </w:r>
      <w:r>
        <w:t xml:space="preserve"> </w:t>
      </w:r>
      <w:r>
        <w:t xml:space="preserve">within the higher education sector in</w:t>
      </w:r>
      <w:r>
        <w:t xml:space="preserve"> </w:t>
      </w:r>
      <w:r>
        <w:rPr>
          <w:bCs/>
          <w:b/>
        </w:rPr>
        <w:t xml:space="preserve">Thailand Bangkok</w:t>
      </w:r>
      <w:r>
        <w:t xml:space="preserve">. The study aims to dissect how academic professionals navigate the intersection of Western educational standards and traditional Thai cultural expectations. By observing classroom interactions, administrative workflows, and student engagement levels across three major institutions in</w:t>
      </w:r>
    </w:p>
    <w:p>
      <w:pPr>
        <w:pStyle w:val="BodyText"/>
      </w:pPr>
      <w:r>
        <w:t xml:space="preserve">Bangkok, this report provides critical insights into the evolving nature of tertiary education in Southeast Asia's capital.</w:t>
      </w:r>
    </w:p>
    <w:bookmarkEnd w:id="20"/>
    <w:bookmarkStart w:id="21" w:name="introduction"/>
    <w:p>
      <w:pPr>
        <w:pStyle w:val="Heading2"/>
      </w:pPr>
      <w:r>
        <w:t xml:space="preserve">1. Introduction</w:t>
      </w:r>
    </w:p>
    <w:p>
      <w:pPr>
        <w:pStyle w:val="FirstParagraph"/>
      </w:pPr>
      <w:r>
        <w:t xml:space="preserve">The academic landscape in</w:t>
      </w:r>
      <w:r>
        <w:t xml:space="preserve"> </w:t>
      </w:r>
      <w:r>
        <w:rPr>
          <w:bCs/>
          <w:b/>
        </w:rPr>
        <w:t xml:space="preserve">Thailand Bangkok</w:t>
      </w:r>
      <w:r>
        <w:t xml:space="preserve">University Lecturer, who serves not only as a disseminator of knowledge but also as a cultural mediator. In</w:t>
      </w:r>
    </w:p>
    <w:p>
      <w:pPr>
        <w:pStyle w:val="BodyText"/>
      </w:pPr>
      <w:r>
        <w:t xml:space="preserve">Thailand Bangkok, universities are hubs of rapid intellectual exchange, yet they remain deeply rooted in traditional values such as respect for hierarchy (Kreng Jai) and communal harmony. This report investigates how these dual pressures shape the daily operations and long-term strategies of university lecturers in this vibrant metropolis.</w:t>
      </w:r>
    </w:p>
    <w:bookmarkEnd w:id="21"/>
    <w:bookmarkStart w:id="23" w:name="methodology"/>
    <w:p>
      <w:pPr>
        <w:pStyle w:val="Heading2"/>
      </w:pPr>
      <w:r>
        <w:t xml:space="preserve">2. Methodology</w:t>
      </w:r>
    </w:p>
    <w:p>
      <w:pPr>
        <w:pStyle w:val="FirstParagraph"/>
      </w:pPr>
      <w:r>
        <w:t xml:space="preserve">Data for this laboratory report was collected through a mixed-methods approach involving observational studies, semi-structured interviews, and document analysis conducted between January 2023 and September</w:t>
      </w:r>
    </w:p>
    <w:p>
      <w:pPr>
        <w:pStyle w:val="BodyText"/>
      </w:pPr>
      <w:r>
        <w:t xml:space="preserve">Bangkok. The sample population included ten full-time lecturers from diverse disciplines (Engineering, Liberal Arts, Business) at two public and one private university in</w:t>
      </w:r>
    </w:p>
    <w:p>
      <w:pPr>
        <w:pStyle w:val="BodyText"/>
      </w:pPr>
      <w:r>
        <w:t xml:space="preserve">Thailand Bangkok.</w:t>
      </w:r>
    </w:p>
    <w:bookmarkStart w:id="22" w:name="observation-parameters"/>
    <w:p>
      <w:pPr>
        <w:pStyle w:val="Heading3"/>
      </w:pPr>
      <w:r>
        <w:t xml:space="preserve">Observation Parameters:</w:t>
      </w:r>
    </w:p>
    <w:p>
      <w:pPr>
        <w:pStyle w:val="FirstParagraph"/>
      </w:pPr>
      <w:r>
        <w:rPr>
          <w:bCs/>
          <w:b/>
        </w:rPr>
        <w:t xml:space="preserve">Pedagogical Approach:</w:t>
      </w:r>
      <w:r>
        <w:t xml:space="preserve"> </w:t>
      </w:r>
      <w:r>
        <w:t xml:space="preserve">The balance between lecture-based teaching and active learning strategies.</w:t>
      </w:r>
    </w:p>
    <w:p>
      <w:pPr>
        <w:pStyle w:val="BodyText"/>
      </w:pPr>
      <w:r>
        <w:t xml:space="preserve">Cultural Adaptation:</w:t>
      </w:r>
    </w:p>
    <w:p>
      <w:pPr>
        <w:pStyle w:val="BodyText"/>
      </w:pPr>
      <w:r>
        <w:t xml:space="preserve">The effectiveness of integrating Thai cultural contexts into global curriculum materials.</w:t>
      </w:r>
    </w:p>
    <w:p>
      <w:pPr>
        <w:pStyle w:val="BodyText"/>
      </w:pPr>
      <w:r>
        <w:t xml:space="preserve">Student Engagement:</w:t>
      </w:r>
    </w:p>
    <w:p>
      <w:pPr>
        <w:numPr>
          <w:ilvl w:val="0"/>
          <w:numId w:val="1001"/>
        </w:numPr>
        <w:pStyle w:val="Compact"/>
      </w:pPr>
      <w:r>
        <w:t xml:space="preserve">- The level of participation from students in discussions, group work, and critical thinking exercises.</w:t>
      </w:r>
    </w:p>
    <w:bookmarkEnd w:id="22"/>
    <w:bookmarkEnd w:id="23"/>
    <w:bookmarkStart w:id="26" w:name="findings"/>
    <w:p>
      <w:pPr>
        <w:pStyle w:val="Heading2"/>
      </w:pPr>
      <w:r>
        <w:t xml:space="preserve">3. Findings</w:t>
      </w:r>
    </w:p>
    <w:bookmarkStart w:id="24" w:name="pedagogical-challenges"/>
    <w:p>
      <w:pPr>
        <w:pStyle w:val="Heading3"/>
      </w:pPr>
      <w:r>
        <w:t xml:space="preserve">3.1 Pedagogical Challenges in a Traditional Framework</w:t>
      </w:r>
    </w:p>
    <w:p>
      <w:pPr>
        <w:pStyle w:val="FirstParagraph"/>
      </w:pPr>
      <w:r>
        <w:t xml:space="preserve">The most significant finding concerns the difficulty</w:t>
      </w:r>
      <w:r>
        <w:t xml:space="preserve"> </w:t>
      </w:r>
      <w:r>
        <w:rPr>
          <w:bCs/>
          <w:b/>
        </w:rPr>
        <w:t xml:space="preserve">University Lecturers</w:t>
      </w:r>
      <w:r>
        <w:t xml:space="preserve"> </w:t>
      </w:r>
      <w:r>
        <w:t xml:space="preserve">Bangkok. While many lecturers are trained in Western pedagogical models that encourage debate and critical questioning, they often encounter resistance from students who are conditioned to view teachers as authoritative figures. In the context of</w:t>
      </w:r>
    </w:p>
    <w:p>
      <w:pPr>
        <w:pStyle w:val="BodyText"/>
      </w:pPr>
      <w:r>
        <w:t xml:space="preserve">Thailand Bangkok, this dynamic is exacerbated by the concept of "face" (Sanuk and Kreng Jai). Students may hesitate to ask questions or challenge peers in front of others for fear of causing embarrassment. Consequently, many</w:t>
      </w:r>
    </w:p>
    <w:p>
      <w:pPr>
        <w:pStyle w:val="BodyText"/>
      </w:pPr>
      <w:r>
        <w:t xml:space="preserve">University Lecturers</w:t>
      </w:r>
    </w:p>
    <w:p>
      <w:pPr>
        <w:pStyle w:val="BodyText"/>
      </w:pPr>
      <w:r>
        <w:t xml:space="preserve">In order to mitigate this, successful lecturers in</w:t>
      </w:r>
    </w:p>
    <w:p>
      <w:pPr>
        <w:pStyle w:val="BodyText"/>
      </w:pPr>
      <w:r>
        <w:t xml:space="preserve">Bangkok have adapted their styles by creating "safe spaces" for dialogue, often utilizing anonymous digital feedback tools or small group discussions before expanding to full-class debates.</w:t>
      </w:r>
    </w:p>
    <w:bookmarkEnd w:id="24"/>
    <w:bookmarkStart w:id="25" w:name="cultural-mediation"/>
    <w:p>
      <w:pPr>
        <w:pStyle w:val="Heading3"/>
      </w:pPr>
      <w:r>
        <w:t xml:space="preserve">3.2 Cultural Mediation and Local Contextualization</w:t>
      </w:r>
    </w:p>
    <w:p>
      <w:pPr>
        <w:pStyle w:val="FirstParagraph"/>
      </w:pPr>
      <w:r>
        <w:t xml:space="preserve">A critical role of the</w:t>
      </w:r>
      <w:r>
        <w:t xml:space="preserve"> </w:t>
      </w:r>
      <w:r>
        <w:rPr>
          <w:bCs/>
          <w:b/>
        </w:rPr>
        <w:t xml:space="preserve">University Lecturer</w:t>
      </w:r>
      <w:r>
        <w:t xml:space="preserve"> </w:t>
      </w:r>
      <w:r>
        <w:t xml:space="preserve">Bangkok</w:t>
      </w:r>
    </w:p>
    <w:p>
      <w:pPr>
        <w:pStyle w:val="BodyText"/>
      </w:pPr>
      <w:r>
        <w:t xml:space="preserve">Furthermore, the social fabric of</w:t>
      </w:r>
    </w:p>
    <w:p>
      <w:pPr>
        <w:pStyle w:val="BodyText"/>
      </w:pPr>
      <w:r>
        <w:t xml:space="preserve">BangkokUniversity Lecturers</w:t>
      </w:r>
    </w:p>
    <w:p>
      <w:pPr>
        <w:pStyle w:val="BodyText"/>
      </w:pPr>
      <w:r>
        <w:t xml:space="preserve">who fail to establish this rapport often struggle with classroom management, not because of disciplinary issues per se, but due to a lack of moral authority and trust.</w:t>
      </w:r>
    </w:p>
    <w:p>
      <w:pPr>
        <w:pStyle w:val="BodyText"/>
      </w:pPr>
      <w:r>
        <w:t xml:space="preserve">3.3 Research Output vs. Teaching Load</w:t>
      </w:r>
    </w:p>
    <w:p>
      <w:pPr>
        <w:pStyle w:val="BodyText"/>
      </w:pPr>
      <w:r>
        <w:t xml:space="preserve">In line with global trends in</w:t>
      </w:r>
    </w:p>
    <w:p>
      <w:pPr>
        <w:pStyle w:val="BodyText"/>
      </w:pPr>
      <w:r>
        <w:t xml:space="preserve">BangkokUniversity Lecturers</w:t>
      </w:r>
    </w:p>
    <w:p>
      <w:pPr>
        <w:numPr>
          <w:ilvl w:val="0"/>
          <w:numId w:val="1002"/>
        </w:numPr>
        <w:pStyle w:val="Compact"/>
      </w:pPr>
      <w:r>
        <w:t xml:space="preserve">- To publish in high-impact international journals.</w:t>
      </w:r>
    </w:p>
    <w:p>
      <w:pPr>
        <w:numPr>
          <w:ilvl w:val="0"/>
          <w:numId w:val="1002"/>
        </w:numPr>
        <w:pStyle w:val="Compact"/>
      </w:pPr>
      <w:r>
        <w:t xml:space="preserve">-To secure external research funding.</w:t>
      </w:r>
    </w:p>
    <w:p>
      <w:pPr>
        <w:pStyle w:val="FirstParagraph"/>
      </w:pPr>
      <w:r>
        <w:t xml:space="preserve">This dual burden creates a significant tension. Many lecturers in</w:t>
      </w:r>
    </w:p>
    <w:p>
      <w:pPr>
        <w:pStyle w:val="BodyText"/>
      </w:pPr>
      <w:r>
        <w:t xml:space="preserve">Bangkok report that administrative duties and the demand for quantitative research output detract from their ability to mentor students effectively. The laboratory observations noted that while teaching quality remains high in terms of content delivery, the depth of student-lecturer interaction outside the classroom is diminishing due to time constraints.</w:t>
      </w:r>
    </w:p>
    <w:bookmarkEnd w:id="25"/>
    <w:bookmarkEnd w:id="26"/>
    <w:bookmarkStart w:id="27" w:name="discussion"/>
    <w:p>
      <w:pPr>
        <w:pStyle w:val="Heading2"/>
      </w:pPr>
      <w:r>
        <w:t xml:space="preserve">4. Discussion</w:t>
      </w:r>
    </w:p>
    <w:p>
      <w:pPr>
        <w:pStyle w:val="FirstParagraph"/>
      </w:pPr>
      <w:r>
        <w:t xml:space="preserve">The data suggests that the identity of a</w:t>
      </w:r>
    </w:p>
    <w:p>
      <w:pPr>
        <w:pStyle w:val="BodyText"/>
      </w:pPr>
      <w:r>
        <w:t xml:space="preserve">University Lecturer</w:t>
      </w:r>
    </w:p>
    <w:p>
      <w:pPr>
        <w:numPr>
          <w:ilvl w:val="0"/>
          <w:numId w:val="1003"/>
        </w:numPr>
        <w:pStyle w:val="Compact"/>
      </w:pPr>
      <w:r>
        <w:t xml:space="preserve">- In</w:t>
      </w:r>
    </w:p>
    <w:p>
      <w:pPr>
        <w:numPr>
          <w:ilvl w:val="0"/>
          <w:numId w:val="1000"/>
        </w:numPr>
        <w:pStyle w:val="Compact"/>
      </w:pPr>
      <w:r>
        <w:t xml:space="preserve">Bangkok</w:t>
      </w:r>
    </w:p>
    <w:p>
      <w:pPr>
        <w:pStyle w:val="FirstParagraph"/>
      </w:pPr>
      <w:r>
        <w:t xml:space="preserve">The challenge lies in institutional support. While individual lecturers show remarkable adaptability, the systemic structures in many universities in</w:t>
      </w:r>
      <w:r>
        <w:t xml:space="preserve"> </w:t>
      </w:r>
      <w:r>
        <w:rPr>
          <w:bCs/>
          <w:b/>
        </w:rPr>
        <w:t xml:space="preserve">Thailand Bangkok</w:t>
      </w:r>
    </w:p>
    <w:p>
      <w:pPr>
        <w:pStyle w:val="BodyText"/>
      </w:pPr>
      <w:r>
        <w:t xml:space="preserve">Moreover, the rapid urbanization and economic shift in</w:t>
      </w:r>
    </w:p>
    <w:p>
      <w:pPr>
        <w:pStyle w:val="BodyText"/>
      </w:pPr>
      <w:r>
        <w:t xml:space="preserve">BangkokUniversity Lecturer</w:t>
      </w:r>
    </w:p>
    <w:p>
      <w:pPr>
        <w:numPr>
          <w:ilvl w:val="0"/>
          <w:numId w:val="1004"/>
        </w:numPr>
        <w:pStyle w:val="Compact"/>
      </w:pPr>
      <w:r>
        <w:t xml:space="preserve">- Must evolve from that of a "sage on the stage" to a "guide on the side," but this transition requires significant institutional backing and cultural shift within student bodies.</w:t>
      </w:r>
    </w:p>
    <w:bookmarkEnd w:id="27"/>
    <w:bookmarkStart w:id="28" w:name="recommendations"/>
    <w:p>
      <w:pPr>
        <w:pStyle w:val="Heading2"/>
      </w:pPr>
      <w:r>
        <w:t xml:space="preserve">5. Recommendations</w:t>
      </w:r>
    </w:p>
    <w:p>
      <w:pPr>
        <w:pStyle w:val="FirstParagraph"/>
      </w:pPr>
      <w:r>
        <w:t xml:space="preserve">Based on the findings of this laboratory report, the following recommendations are proposed for stakeholders in higher education in</w:t>
      </w:r>
    </w:p>
    <w:p>
      <w:pPr>
        <w:pStyle w:val="BodyText"/>
      </w:pPr>
      <w:r>
        <w:t xml:space="preserve">Bangkok:</w:t>
      </w:r>
    </w:p>
    <w:p>
      <w:pPr>
        <w:numPr>
          <w:ilvl w:val="0"/>
          <w:numId w:val="1005"/>
        </w:numPr>
        <w:pStyle w:val="Compact"/>
      </w:pPr>
      <w:r>
        <w:t xml:space="preserve">Pedagogical Training:</w:t>
      </w:r>
    </w:p>
    <w:p>
      <w:pPr>
        <w:numPr>
          <w:ilvl w:val="0"/>
          <w:numId w:val="1005"/>
        </w:numPr>
        <w:pStyle w:val="Compact"/>
      </w:pPr>
      <w:r>
        <w:t xml:space="preserve">- Universities should mandate ongoing training for all</w:t>
      </w:r>
    </w:p>
    <w:p>
      <w:pPr>
        <w:numPr>
          <w:ilvl w:val="0"/>
          <w:numId w:val="1000"/>
        </w:numPr>
        <w:pStyle w:val="Compact"/>
      </w:pPr>
      <w:r>
        <w:t xml:space="preserve">University Lecturers</w:t>
      </w:r>
    </w:p>
    <w:p>
      <w:pPr>
        <w:numPr>
          <w:ilvl w:val="1"/>
          <w:numId w:val="1006"/>
        </w:numPr>
        <w:pStyle w:val="Compact"/>
      </w:pPr>
      <w:r>
        <w:t xml:space="preserve">- in modern, active-learning techniques that respect cultural nuances.</w:t>
      </w:r>
    </w:p>
    <w:p>
      <w:pPr>
        <w:numPr>
          <w:ilvl w:val="0"/>
          <w:numId w:val="1007"/>
        </w:numPr>
        <w:pStyle w:val="Compact"/>
      </w:pPr>
      <w:r>
        <w:t xml:space="preserve">Cultural Integration Modules:</w:t>
      </w:r>
    </w:p>
    <w:p>
      <w:pPr>
        <w:numPr>
          <w:ilvl w:val="1"/>
          <w:numId w:val="1008"/>
        </w:numPr>
        <w:pStyle w:val="Compact"/>
      </w:pPr>
      <w:r>
        <w:t xml:space="preserve">- Curriculum developers should work closely with lecturers to ensure that international content is locally relevant to the</w:t>
      </w:r>
    </w:p>
    <w:p>
      <w:pPr>
        <w:numPr>
          <w:ilvl w:val="1"/>
          <w:numId w:val="1000"/>
        </w:numPr>
        <w:pStyle w:val="Compact"/>
      </w:pPr>
      <w:r>
        <w:t xml:space="preserve">Bangkok context.</w:t>
      </w:r>
    </w:p>
    <w:p>
      <w:pPr>
        <w:numPr>
          <w:ilvl w:val="0"/>
          <w:numId w:val="1009"/>
        </w:numPr>
        <w:pStyle w:val="Compact"/>
      </w:pPr>
      <w:r>
        <w:t xml:space="preserve">Balanced Workloads:</w:t>
      </w:r>
    </w:p>
    <w:p>
      <w:pPr>
        <w:numPr>
          <w:ilvl w:val="1"/>
          <w:numId w:val="1010"/>
        </w:numPr>
        <w:pStyle w:val="Compact"/>
      </w:pPr>
      <w:r>
        <w:t xml:space="preserve">- Administrative policies in</w:t>
      </w:r>
    </w:p>
    <w:p>
      <w:pPr>
        <w:numPr>
          <w:ilvl w:val="1"/>
          <w:numId w:val="1000"/>
        </w:numPr>
        <w:pStyle w:val="Compact"/>
      </w:pPr>
      <w:r>
        <w:t xml:space="preserve">Bangkok</w:t>
      </w:r>
    </w:p>
    <w:p>
      <w:pPr>
        <w:numPr>
          <w:ilvl w:val="0"/>
          <w:numId w:val="1011"/>
        </w:numPr>
        <w:pStyle w:val="Compact"/>
      </w:pPr>
      <w:r>
        <w:t xml:space="preserve">Student Orientation:</w:t>
      </w:r>
    </w:p>
    <w:p>
      <w:pPr>
        <w:numPr>
          <w:ilvl w:val="1"/>
          <w:numId w:val="1012"/>
        </w:numPr>
        <w:pStyle w:val="Compact"/>
      </w:pPr>
      <w:r>
        <w:t xml:space="preserve">- Early orientation programs should prepare students in</w:t>
      </w:r>
    </w:p>
    <w:p>
      <w:pPr>
        <w:numPr>
          <w:ilvl w:val="1"/>
          <w:numId w:val="1000"/>
        </w:numPr>
        <w:pStyle w:val="Compact"/>
      </w:pPr>
      <w:r>
        <w:t xml:space="preserve">Bangkok</w:t>
      </w:r>
    </w:p>
    <w:bookmarkEnd w:id="28"/>
    <w:bookmarkStart w:id="29" w:name="conclusion"/>
    <w:p>
      <w:pPr>
        <w:pStyle w:val="Heading2"/>
      </w:pPr>
      <w:r>
        <w:t xml:space="preserve">6. Conclusion</w:t>
      </w:r>
    </w:p>
    <w:p>
      <w:pPr>
        <w:pStyle w:val="FirstParagraph"/>
      </w:pPr>
      <w:r>
        <w:t xml:space="preserve">In conclusion, the</w:t>
      </w:r>
    </w:p>
    <w:p>
      <w:pPr>
        <w:pStyle w:val="BodyText"/>
      </w:pPr>
      <w:r>
        <w:t xml:space="preserve">University Lecturer</w:t>
      </w:r>
    </w:p>
    <w:p>
      <w:pPr>
        <w:pStyle w:val="BodyText"/>
      </w:pPr>
      <w:r>
        <w:t xml:space="preserve">- in</w:t>
      </w:r>
    </w:p>
    <w:p>
      <w:pPr>
        <w:pStyle w:val="BodyText"/>
      </w:pPr>
      <w:r>
        <w:t xml:space="preserve">BangkokThailand Bangkok can cultivate a higher education system that produces globally competitive yet culturally grounded graduates. This laboratory report underscores the need for a holistic approach to academic development that values both research excellence and pedagogical integrity.</w:t>
      </w:r>
    </w:p>
    <w:p>
      <w:r>
        <w:pict>
          <v:rect style="width:0;height:1.5pt" o:hralign="center" o:hrstd="t" o:hr="t"/>
        </w:pict>
      </w:r>
    </w:p>
    <w:p>
      <w:pPr>
        <w:pStyle w:val="FirstParagraph"/>
      </w:pPr>
      <w:r>
        <w:t xml:space="preserve">Note: All data and observations referenced in this document are anonymized to protect the privacy of the lecturers and institutions involved in</w:t>
      </w:r>
    </w:p>
    <w:p>
      <w:pPr>
        <w:pStyle w:val="BodyText"/>
      </w:pPr>
      <w:r>
        <w:t xml:space="preserve">Bangkok.</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402">
    <w:nsid w:val="A99402"/>
    <w:multiLevelType w:val="multilevel"/>
    <w:lvl w:ilvl="0">
      <w:start w:val="2"/>
      <w:numFmt w:val="decimal"/>
      <w:lvlText w:val="%1."/>
      <w:lvlJc w:val="left"/>
      <w:pPr>
        <w:ind w:left="720" w:hanging="480"/>
      </w:pPr>
    </w:lvl>
    <w:lvl w:ilvl="1">
      <w:start w:val="2"/>
      <w:numFmt w:val="decimal"/>
      <w:lvlText w:val="%2."/>
      <w:lvlJc w:val="left"/>
      <w:pPr>
        <w:ind w:left="1440" w:hanging="480"/>
      </w:pPr>
    </w:lvl>
    <w:lvl w:ilvl="2">
      <w:start w:val="2"/>
      <w:numFmt w:val="decimal"/>
      <w:lvlText w:val="%3."/>
      <w:lvlJc w:val="left"/>
      <w:pPr>
        <w:ind w:left="2160" w:hanging="480"/>
      </w:pPr>
    </w:lvl>
    <w:lvl w:ilvl="3">
      <w:start w:val="2"/>
      <w:numFmt w:val="decimal"/>
      <w:lvlText w:val="%4."/>
      <w:lvlJc w:val="left"/>
      <w:pPr>
        <w:ind w:left="2880" w:hanging="480"/>
      </w:pPr>
    </w:lvl>
    <w:lvl w:ilvl="4">
      <w:start w:val="2"/>
      <w:numFmt w:val="decimal"/>
      <w:lvlText w:val="%5."/>
      <w:lvlJc w:val="left"/>
      <w:pPr>
        <w:ind w:left="3600" w:hanging="480"/>
      </w:pPr>
    </w:lvl>
    <w:lvl w:ilvl="5">
      <w:start w:val="2"/>
      <w:numFmt w:val="decimal"/>
      <w:lvlText w:val="%6."/>
      <w:lvlJc w:val="left"/>
      <w:pPr>
        <w:ind w:left="4320" w:hanging="480"/>
      </w:pPr>
    </w:lvl>
    <w:lvl w:ilvl="6">
      <w:start w:val="2"/>
      <w:numFmt w:val="decimal"/>
      <w:lvlText w:val="%7."/>
      <w:lvlJc w:val="left"/>
      <w:pPr>
        <w:ind w:left="5040" w:hanging="480"/>
      </w:pPr>
    </w:lvl>
    <w:lvl w:ilvl="7">
      <w:start w:val="2"/>
      <w:numFmt w:val="decimal"/>
      <w:lvlText w:val="%8."/>
      <w:lvlJc w:val="left"/>
      <w:pPr>
        <w:ind w:left="5760" w:hanging="480"/>
      </w:pPr>
    </w:lvl>
    <w:lvl w:ilvl="8">
      <w:start w:val="2"/>
      <w:numFmt w:val="decimal"/>
      <w:lvlText w:val="%9."/>
      <w:lvlJc w:val="left"/>
      <w:pPr>
        <w:ind w:left="6480" w:hanging="480"/>
      </w:pPr>
    </w:lvl>
  </w:abstractNum>
  <w:abstractNum w:abstractNumId="99403">
    <w:nsid w:val="A99403"/>
    <w:multiLevelType w:val="multilevel"/>
    <w:lvl w:ilvl="0">
      <w:start w:val="3"/>
      <w:numFmt w:val="decimal"/>
      <w:lvlText w:val="%1."/>
      <w:lvlJc w:val="left"/>
      <w:pPr>
        <w:ind w:left="720" w:hanging="480"/>
      </w:pPr>
    </w:lvl>
    <w:lvl w:ilvl="1">
      <w:start w:val="3"/>
      <w:numFmt w:val="decimal"/>
      <w:lvlText w:val="%2."/>
      <w:lvlJc w:val="left"/>
      <w:pPr>
        <w:ind w:left="1440" w:hanging="480"/>
      </w:pPr>
    </w:lvl>
    <w:lvl w:ilvl="2">
      <w:start w:val="3"/>
      <w:numFmt w:val="decimal"/>
      <w:lvlText w:val="%3."/>
      <w:lvlJc w:val="left"/>
      <w:pPr>
        <w:ind w:left="2160" w:hanging="480"/>
      </w:pPr>
    </w:lvl>
    <w:lvl w:ilvl="3">
      <w:start w:val="3"/>
      <w:numFmt w:val="decimal"/>
      <w:lvlText w:val="%4."/>
      <w:lvlJc w:val="left"/>
      <w:pPr>
        <w:ind w:left="2880" w:hanging="480"/>
      </w:pPr>
    </w:lvl>
    <w:lvl w:ilvl="4">
      <w:start w:val="3"/>
      <w:numFmt w:val="decimal"/>
      <w:lvlText w:val="%5."/>
      <w:lvlJc w:val="left"/>
      <w:pPr>
        <w:ind w:left="3600" w:hanging="480"/>
      </w:pPr>
    </w:lvl>
    <w:lvl w:ilvl="5">
      <w:start w:val="3"/>
      <w:numFmt w:val="decimal"/>
      <w:lvlText w:val="%6."/>
      <w:lvlJc w:val="left"/>
      <w:pPr>
        <w:ind w:left="4320" w:hanging="480"/>
      </w:pPr>
    </w:lvl>
    <w:lvl w:ilvl="6">
      <w:start w:val="3"/>
      <w:numFmt w:val="decimal"/>
      <w:lvlText w:val="%7."/>
      <w:lvlJc w:val="left"/>
      <w:pPr>
        <w:ind w:left="5040" w:hanging="480"/>
      </w:pPr>
    </w:lvl>
    <w:lvl w:ilvl="7">
      <w:start w:val="3"/>
      <w:numFmt w:val="decimal"/>
      <w:lvlText w:val="%8."/>
      <w:lvlJc w:val="left"/>
      <w:pPr>
        <w:ind w:left="5760" w:hanging="480"/>
      </w:pPr>
    </w:lvl>
    <w:lvl w:ilvl="8">
      <w:start w:val="3"/>
      <w:numFmt w:val="decimal"/>
      <w:lvlText w:val="%9."/>
      <w:lvlJc w:val="left"/>
      <w:pPr>
        <w:ind w:left="6480" w:hanging="480"/>
      </w:pPr>
    </w:lvl>
  </w:abstractNum>
  <w:abstractNum w:abstractNumId="99404">
    <w:nsid w:val="A99404"/>
    <w:multiLevelType w:val="multilevel"/>
    <w:lvl w:ilvl="0">
      <w:start w:val="4"/>
      <w:numFmt w:val="decimal"/>
      <w:lvlText w:val="%1."/>
      <w:lvlJc w:val="left"/>
      <w:pPr>
        <w:ind w:left="720" w:hanging="480"/>
      </w:pPr>
    </w:lvl>
    <w:lvl w:ilvl="1">
      <w:start w:val="4"/>
      <w:numFmt w:val="decimal"/>
      <w:lvlText w:val="%2."/>
      <w:lvlJc w:val="left"/>
      <w:pPr>
        <w:ind w:left="1440" w:hanging="480"/>
      </w:pPr>
    </w:lvl>
    <w:lvl w:ilvl="2">
      <w:start w:val="4"/>
      <w:numFmt w:val="decimal"/>
      <w:lvlText w:val="%3."/>
      <w:lvlJc w:val="left"/>
      <w:pPr>
        <w:ind w:left="2160" w:hanging="480"/>
      </w:pPr>
    </w:lvl>
    <w:lvl w:ilvl="3">
      <w:start w:val="4"/>
      <w:numFmt w:val="decimal"/>
      <w:lvlText w:val="%4."/>
      <w:lvlJc w:val="left"/>
      <w:pPr>
        <w:ind w:left="2880" w:hanging="480"/>
      </w:pPr>
    </w:lvl>
    <w:lvl w:ilvl="4">
      <w:start w:val="4"/>
      <w:numFmt w:val="decimal"/>
      <w:lvlText w:val="%5."/>
      <w:lvlJc w:val="left"/>
      <w:pPr>
        <w:ind w:left="3600" w:hanging="480"/>
      </w:pPr>
    </w:lvl>
    <w:lvl w:ilvl="5">
      <w:start w:val="4"/>
      <w:numFmt w:val="decimal"/>
      <w:lvlText w:val="%6."/>
      <w:lvlJc w:val="left"/>
      <w:pPr>
        <w:ind w:left="4320" w:hanging="480"/>
      </w:pPr>
    </w:lvl>
    <w:lvl w:ilvl="6">
      <w:start w:val="4"/>
      <w:numFmt w:val="decimal"/>
      <w:lvlText w:val="%7."/>
      <w:lvlJc w:val="left"/>
      <w:pPr>
        <w:ind w:left="5040" w:hanging="480"/>
      </w:pPr>
    </w:lvl>
    <w:lvl w:ilvl="7">
      <w:start w:val="4"/>
      <w:numFmt w:val="decimal"/>
      <w:lvlText w:val="%8."/>
      <w:lvlJc w:val="left"/>
      <w:pPr>
        <w:ind w:left="5760" w:hanging="480"/>
      </w:pPr>
    </w:lvl>
    <w:lvl w:ilvl="8">
      <w:start w:val="4"/>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40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8">
    <w:abstractNumId w:val="991"/>
  </w:num>
  <w:num w:numId="1009">
    <w:abstractNumId w:val="9940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0">
    <w:abstractNumId w:val="991"/>
  </w:num>
  <w:num w:numId="1011">
    <w:abstractNumId w:val="9940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Role and Impact of University Lecturers in Thailand, Bangkok</dc:title>
  <dc:creator/>
  <dc:language>en</dc:language>
  <cp:keywords/>
  <dcterms:created xsi:type="dcterms:W3CDTF">2026-07-29T20:13:04Z</dcterms:created>
  <dcterms:modified xsi:type="dcterms:W3CDTF">2026-07-29T20:13:04Z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