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Evaluation</w:t>
      </w:r>
      <w:r>
        <w:t xml:space="preserve"> </w:t>
      </w:r>
      <w:r>
        <w:t xml:space="preserve">of</w:t>
      </w:r>
      <w:r>
        <w:t xml:space="preserve"> </w:t>
      </w:r>
      <w:r>
        <w:t xml:space="preserve">University</w:t>
      </w:r>
      <w:r>
        <w:t xml:space="preserve"> </w:t>
      </w:r>
      <w:r>
        <w:t xml:space="preserve">Lecturer</w:t>
      </w:r>
      <w:r>
        <w:t xml:space="preserve"> </w:t>
      </w:r>
      <w:r>
        <w:t xml:space="preserve">Performance</w:t>
      </w:r>
      <w:r>
        <w:t xml:space="preserve"> </w:t>
      </w:r>
      <w:r>
        <w:t xml:space="preserve">in</w:t>
      </w:r>
      <w:r>
        <w:t xml:space="preserve"> </w:t>
      </w:r>
      <w:r>
        <w:t xml:space="preserve">Tashkent,</w:t>
      </w:r>
      <w:r>
        <w:t xml:space="preserve"> </w:t>
      </w:r>
      <w:r>
        <w:t xml:space="preserve">Uzbekistan</w:t>
      </w:r>
    </w:p>
    <w:bookmarkStart w:id="31" w:name="Xf574ac8b2c61c5308b2348e66478c3679a15cc6"/>
    <w:p>
      <w:pPr>
        <w:pStyle w:val="Heading1"/>
      </w:pPr>
      <w:r>
        <w:t xml:space="preserve">Laboratory Report: Academic and Operational Assessment of the University Lecturer Role</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Tashkent, Uzbekistan</w:t>
      </w:r>
    </w:p>
    <w:p>
      <w:pPr>
        <w:pStyle w:val="BodyText"/>
      </w:pPr>
      <w:r>
        <w:rPr>
          <w:bCs/>
          <w:b/>
        </w:rPr>
        <w:t xml:space="preserve">Status::: Completed Observation and Analysis Phase</w:t>
      </w:r>
    </w:p>
    <w:bookmarkStart w:id="20" w:name="abstract"/>
    <w:p>
      <w:pPr>
        <w:pStyle w:val="Heading2"/>
      </w:pPr>
      <w:r>
        <w:t xml:space="preserve">1. Abstract</w:t>
      </w:r>
    </w:p>
    <w:p>
      <w:pPr>
        <w:pStyle w:val="FirstParagraph"/>
      </w:pPr>
      <w:r>
        <w:t xml:space="preserve">This document serves as a comprehensive lab report analyzing the multifaceted role of a University Lecturer within the specific academic and socio-cultural context of Tashkent, Uzbekistan. As part of the national initiative to modernize higher education standards in Central Asia, this report evaluates pedagogical methods, administrative duties, and cultural integration required for effective teaching in this region. The "Lab Report" format allows for a structured examination of variables such as student engagement levels in Tashkent universities, the integration of international curricula with local traditions, and the operational challenges faced by educators. The findings suggest that while infrastructure is rapidly improving in Tashkent, the success of any University Lecturer depends heavily on their ability to navigate bilingual (Uzbek-English) environments and adapt to the evolving expectations of a young, ambitious student demographic.</w:t>
      </w:r>
    </w:p>
    <w:bookmarkEnd w:id="20"/>
    <w:bookmarkStart w:id="21" w:name="introduction-and-objectives"/>
    <w:p>
      <w:pPr>
        <w:pStyle w:val="Heading2"/>
      </w:pPr>
      <w:r>
        <w:t xml:space="preserve">2. Introduction and Objectives</w:t>
      </w:r>
    </w:p>
    <w:p>
      <w:pPr>
        <w:pStyle w:val="FirstParagraph"/>
      </w:pPr>
      <w:r>
        <w:t xml:space="preserve">The primary objective of this study is to deconstruct the duties, challenges, and success metrics associated with the position of a University Lecturer in Tashkent. Uzbekistan has recently undergone significant educational reforms aimed at aligning its higher education system with international standards. Consequently, the role of a lecturer has expanded beyond traditional knowledge transfer to include mentorship, research facilitation, and cross-cultural communication.</w:t>
      </w:r>
    </w:p>
    <w:p>
      <w:pPr>
        <w:pStyle w:val="BodyText"/>
      </w:pPr>
      <w:r>
        <w:t xml:space="preserve">Tashkent, as the capital city and the academic hub of Uzbekistan, hosts several prestigious institutions such as Tashkent State University of Law (TSUL), Tashkent State Technical University (TSTU), and American University of Central Asia’s affiliated programs. This report specifically focuses on these high-pressure academic environments. By treating the lecturer's performance as a series of testable hypotheses within a controlled "Lab Report" framework, we aim to identify best practices for educators working in Tashkent.</w:t>
      </w:r>
    </w:p>
    <w:bookmarkEnd w:id="21"/>
    <w:bookmarkStart w:id="23" w:name="methodology"/>
    <w:p>
      <w:pPr>
        <w:pStyle w:val="Heading2"/>
      </w:pPr>
      <w:r>
        <w:t xml:space="preserve">3. Methodology</w:t>
      </w:r>
    </w:p>
    <w:p>
      <w:pPr>
        <w:pStyle w:val="FirstParagraph"/>
      </w:pPr>
      <w:r>
        <w:t xml:space="preserve">This Lab Report utilizes a mixed-methods approach to evaluate the University Lecturer role. The data collection process included direct observation of lectures conducted in major universities across Tashkent, semi-structured interviews with current faculty members, and analysis of student feedback forms from the previous academic semester.</w:t>
      </w:r>
    </w:p>
    <w:bookmarkStart w:id="22" w:name="variable-definition"/>
    <w:p>
      <w:pPr>
        <w:pStyle w:val="Heading3"/>
      </w:pPr>
      <w:r>
        <w:t xml:space="preserve">3.1 Variable Definition</w:t>
      </w:r>
    </w:p>
    <w:p>
      <w:pPr>
        <w:numPr>
          <w:ilvl w:val="0"/>
          <w:numId w:val="1001"/>
        </w:numPr>
        <w:pStyle w:val="Compact"/>
      </w:pPr>
      <w:r>
        <w:rPr>
          <w:bCs/>
          <w:b/>
        </w:rPr>
        <w:t xml:space="preserve">Independent Variable:</w:t>
      </w:r>
      <w:r>
        <w:t xml:space="preserve">The teaching methodology employed by the University Lecturer (e.g., traditional lecture vs. interactive seminar).</w:t>
      </w:r>
    </w:p>
    <w:p>
      <w:pPr>
        <w:numPr>
          <w:ilvl w:val="0"/>
          <w:numId w:val="1001"/>
        </w:numPr>
        <w:pStyle w:val="Compact"/>
      </w:pPr>
      <w:r>
        <w:rPr>
          <w:bCs/>
          <w:b/>
        </w:rPr>
        <w:t xml:space="preserve">Dependent Variables:</w:t>
      </w:r>
      <w:r>
        <w:t xml:space="preserve">: Student engagement scores, comprehension rates, and classroom participation levels in Tashkent universities.</w:t>
      </w:r>
    </w:p>
    <w:p>
      <w:pPr>
        <w:numPr>
          <w:ilvl w:val="0"/>
          <w:numId w:val="1001"/>
        </w:numPr>
        <w:pStyle w:val="Compact"/>
      </w:pPr>
      <w:r>
        <w:rPr>
          <w:bCs/>
          <w:b/>
        </w:rPr>
        <w:t xml:space="preserve">Control Variables:</w:t>
      </w:r>
      <w:r>
        <w:t xml:space="preserve">Syllabus content, class duration (90 minutes), and room capacity within the specific campus in Tashkent.</w:t>
      </w:r>
    </w:p>
    <w:bookmarkEnd w:id="22"/>
    <w:bookmarkEnd w:id="23"/>
    <w:bookmarkStart w:id="27" w:name="results-observations-from-the-field"/>
    <w:p>
      <w:pPr>
        <w:pStyle w:val="Heading2"/>
      </w:pPr>
      <w:r>
        <w:t xml:space="preserve">4. Results: Observations from the Field</w:t>
      </w:r>
    </w:p>
    <w:p>
      <w:pPr>
        <w:pStyle w:val="FirstParagraph"/>
      </w:pPr>
      <w:r>
        <w:t xml:space="preserve">The observations conducted in Tashkent revealed distinct patterns regarding how University Lecturers operate within the local academic ecosystem. The following sections detail these findings.</w:t>
      </w:r>
    </w:p>
    <w:bookmarkStart w:id="24" w:name="pedagogical-adaptation"/>
    <w:p>
      <w:pPr>
        <w:pStyle w:val="Heading3"/>
      </w:pPr>
      <w:r>
        <w:t xml:space="preserve">4.1 Pedagogical Adaptation</w:t>
      </w:r>
    </w:p>
    <w:p>
      <w:pPr>
        <w:pStyle w:val="FirstParagraph"/>
      </w:pPr>
      <w:r>
        <w:t xml:space="preserve">In Tashkent, there is a noticeable shift from rote memorization to critical thinking and problem-solving. University Lecturers who adopted interactive learning techniques reported significantly higher engagement rates among students aged 18–22. However, the Lab Report data indicates that many lecturers still struggle with the transition due to ingrained traditional methods. Successful lecturers in Tashkent were those who integrated case studies relevant to the local Uzbek economy and regional politics, making abstract concepts tangible for students.</w:t>
      </w:r>
    </w:p>
    <w:bookmarkEnd w:id="24"/>
    <w:bookmarkStart w:id="25" w:name="linguistic-dynamics"/>
    <w:p>
      <w:pPr>
        <w:pStyle w:val="Heading3"/>
      </w:pPr>
      <w:r>
        <w:t xml:space="preserve">4.2 Linguistic Dynamics</w:t>
      </w:r>
    </w:p>
    <w:p>
      <w:pPr>
        <w:pStyle w:val="FirstParagraph"/>
      </w:pPr>
      <w:r>
        <w:t xml:space="preserve">A critical finding of this Lab Report is the bilingual nature of higher education in Tashkent. While English has been designated as a working language in many technical and scientific departments, Uzbek remains the dominant language for informal student-lecturer interactions. University Lecturers who possessed at least basic proficiency in Uzbek or employed effective translation tools found that their authority and rapport with students improved markedly. The cultural expectation of respect for elders also plays a role; lecturers who maintained a balance between professional distance and approachability succeeded better than those who were either too authoritarian or too informal.</w:t>
      </w:r>
    </w:p>
    <w:bookmarkEnd w:id="25"/>
    <w:bookmarkStart w:id="26" w:name="technological-integration"/>
    <w:p>
      <w:pPr>
        <w:pStyle w:val="Heading3"/>
      </w:pPr>
      <w:r>
        <w:t xml:space="preserve">4.3 Technological Integration</w:t>
      </w:r>
    </w:p>
    <w:p>
      <w:pPr>
        <w:pStyle w:val="FirstParagraph"/>
      </w:pPr>
      <w:r>
        <w:t xml:space="preserve">Tashkent has seen rapid digitalization in its university sectors. The Lab Report highlights that University Lecturers who effectively utilized Learning Management Systems (LMS) and digital collaboration tools were better equipped to handle the administrative load. However, infrastructure inconsistencies in older buildings within Tashkent sometimes hindered seamless technology use, requiring lecturers to remain adaptable and resourceful.</w:t>
      </w:r>
    </w:p>
    <w:bookmarkEnd w:id="26"/>
    <w:bookmarkEnd w:id="27"/>
    <w:bookmarkStart w:id="28" w:name="discussion"/>
    <w:p>
      <w:pPr>
        <w:pStyle w:val="Heading2"/>
      </w:pPr>
      <w:r>
        <w:t xml:space="preserve">5. Discussion</w:t>
      </w:r>
    </w:p>
    <w:p>
      <w:pPr>
        <w:pStyle w:val="FirstParagraph"/>
      </w:pPr>
      <w:r>
        <w:t xml:space="preserve">The analysis of the University Lecturer role in Tashkent reveals that success is not merely a function of subject matter expertise. It is deeply intertwined with cultural competence and adaptability. The "Lab Report" format highlights that the environment in Tashkent acts as a unique pressure chamber, testing lecturers' ability to innovate under resource constraints while meeting global academic standards.</w:t>
      </w:r>
    </w:p>
    <w:p>
      <w:pPr>
        <w:pStyle w:val="BodyText"/>
      </w:pPr>
      <w:r>
        <w:t xml:space="preserve">Furthermore, the social context of Uzbekistan cannot be ignored. Hospitality and community orientation are core cultural values. University Lecturers who participated in university extracurricular activities or maintained open-door policies found that their influence extended beyond the classroom, fostering a holistic educational experience. This aligns with the broader national goals of Tashkent to become a regional center for education and science.</w:t>
      </w:r>
    </w:p>
    <w:bookmarkEnd w:id="28"/>
    <w:bookmarkStart w:id="29" w:name="conclusion"/>
    <w:p>
      <w:pPr>
        <w:pStyle w:val="Heading2"/>
      </w:pPr>
      <w:r>
        <w:t xml:space="preserve">6. Conclusion</w:t>
      </w:r>
    </w:p>
    <w:p>
      <w:pPr>
        <w:pStyle w:val="FirstParagraph"/>
      </w:pPr>
      <w:r>
        <w:t xml:space="preserve">This Lab Report concludes that the role of a University Lecturer in Tashkent, Uzbekistan, is dynamic and increasingly complex. It requires a blend of rigorous academic knowledge, cultural sensitivity to Uzbek traditions, and technological agility. The findings suggest that for future educators aiming to work in this region, preparation should include not only subject specialization but also an understanding of the local linguistic landscape and socio-cultural norms.</w:t>
      </w:r>
    </w:p>
    <w:p>
      <w:pPr>
        <w:pStyle w:val="BodyText"/>
      </w:pPr>
      <w:r>
        <w:t xml:space="preserve">As Tashkent continues to develop its higher education sector, the University Lecturer will remain a pivotal figure in shaping the next generation of Uzbek professionals. The data collected in this report supports the hypothesis that lecturers who actively engage with their students' cultural context and leverage modern pedagogical tools achieve superior educational outcomes. Future iterations of this Lab Report should monitor long-term career impacts and alumni success rates to further validate these preliminary findings.</w:t>
      </w:r>
    </w:p>
    <w:bookmarkEnd w:id="29"/>
    <w:bookmarkStart w:id="30" w:name="references"/>
    <w:p>
      <w:pPr>
        <w:pStyle w:val="Heading2"/>
      </w:pPr>
      <w:r>
        <w:t xml:space="preserve">7. References</w:t>
      </w:r>
    </w:p>
    <w:p>
      <w:pPr>
        <w:numPr>
          <w:ilvl w:val="0"/>
          <w:numId w:val="1002"/>
        </w:numPr>
        <w:pStyle w:val="Compact"/>
      </w:pPr>
      <w:r>
        <w:t xml:space="preserve">National Strategy for the Development of New Uzbekistan (Educational Sector Reforms).</w:t>
      </w:r>
    </w:p>
    <w:p>
      <w:pPr>
        <w:numPr>
          <w:ilvl w:val="0"/>
          <w:numId w:val="1002"/>
        </w:numPr>
        <w:pStyle w:val="Compact"/>
      </w:pPr>
      <w:r>
        <w:t xml:space="preserve">Tashkent State University of Law Annual Teaching Effectiveness Reports.</w:t>
      </w:r>
    </w:p>
    <w:p>
      <w:pPr>
        <w:numPr>
          <w:ilvl w:val="0"/>
          <w:numId w:val="1002"/>
        </w:numPr>
        <w:pStyle w:val="Compact"/>
      </w:pPr>
      <w:r>
        <w:t xml:space="preserve">Cultural Guidelines for Foreign Educators in Central Asia.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Evaluation of University Lecturer Performance in Tashkent, Uzbekistan</dc:title>
  <dc:creator/>
  <dc:language>en</dc:language>
  <cp:keywords/>
  <dcterms:created xsi:type="dcterms:W3CDTF">2026-07-29T19:35:58Z</dcterms:created>
  <dcterms:modified xsi:type="dcterms:W3CDTF">2026-07-29T19:35:58Z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