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for</w:t>
      </w:r>
      <w:r>
        <w:t xml:space="preserve"> </w:t>
      </w:r>
      <w:r>
        <w:t xml:space="preserve">the</w:t>
      </w:r>
      <w:r>
        <w:t xml:space="preserve"> </w:t>
      </w:r>
      <w:r>
        <w:t xml:space="preserve">Canada</w:t>
      </w:r>
      <w:r>
        <w:t xml:space="preserve"> </w:t>
      </w:r>
      <w:r>
        <w:t xml:space="preserve">Montreal</w:t>
      </w:r>
      <w:r>
        <w:t xml:space="preserve"> </w:t>
      </w:r>
      <w:r>
        <w:t xml:space="preserve">Market</w:t>
      </w:r>
    </w:p>
    <w:p>
      <w:pPr>
        <w:pStyle w:val="FirstParagraph"/>
      </w:pPr>
      <w:r>
        <w:t xml:space="preserve">```html</w:t>
      </w:r>
    </w:p>
    <w:bookmarkStart w:id="30" w:name="X71e9e2ed037ccf13d196db85f0f52e2184a8319"/>
    <w:p>
      <w:pPr>
        <w:pStyle w:val="Heading1"/>
      </w:pPr>
      <w:r>
        <w:t xml:space="preserve">Laboratory Report: Strategic UX/UI Design Integration in the Canada Montreal Ecosystem</w:t>
      </w:r>
    </w:p>
    <w:p>
      <w:pPr>
        <w:pStyle w:val="FirstParagraph"/>
      </w:pPr>
      <w:r>
        <w:rPr>
          <w:bCs/>
          <w:b/>
        </w:rPr>
        <w:t xml:space="preserve">Date:</w:t>
      </w:r>
      <w:r>
        <w:t xml:space="preserve"> </w:t>
      </w:r>
      <w:r>
        <w:t xml:space="preserve">October 26, 2023</w:t>
      </w:r>
      <w:r>
        <w:br/>
      </w:r>
      <w:r>
        <w:rPr>
          <w:bCs/>
          <w:b/>
        </w:rPr>
        <w:t xml:space="preserve">Sector Analysis:</w:t>
      </w:r>
      <w:r>
        <w:t xml:space="preserve"> </w:t>
      </w:r>
      <w:r>
        <w:t xml:space="preserve">Digital Product Design</w:t>
      </w:r>
      <w:r>
        <w:br/>
      </w:r>
    </w:p>
    <w:bookmarkStart w:id="20" w:name="executive-summary"/>
    <w:p>
      <w:pPr>
        <w:pStyle w:val="Heading2"/>
      </w:pPr>
      <w:r>
        <w:t xml:space="preserve">1. Executive Summary</w:t>
      </w:r>
    </w:p>
    <w:p>
      <w:pPr>
        <w:pStyle w:val="FirstParagraph"/>
      </w:pPr>
      <w:r>
        <w:t xml:space="preserve">This Lab Report provides a comprehensive analysis of the current state, challenges, and opportunities regarding UX/UI (User Experience/User Interface) design within the vibrant digital landscape of Canada Montreal. As a bilingual hub known for its unique cultural intersection between French and English heritage, Montreal presents a distinct set of design parameters that differ significantly from other major North American tech hubs such as Toronto or San Francisco. This report examines how UX/UI designers must adapt their methodologies to cater to the specific linguistic, cultural, and regulatory requirements of the region. The findings suggest that successful digital products in Canada Montreal require a "glocalization" approach—combining global design standards with deep local contextual adaptation.</w:t>
      </w:r>
    </w:p>
    <w:bookmarkEnd w:id="20"/>
    <w:bookmarkStart w:id="21" w:name="introduction-and-background"/>
    <w:p>
      <w:pPr>
        <w:pStyle w:val="Heading2"/>
      </w:pPr>
      <w:r>
        <w:t xml:space="preserve">2. Introduction and Background</w:t>
      </w:r>
    </w:p>
    <w:p>
      <w:pPr>
        <w:pStyle w:val="FirstParagraph"/>
      </w:pPr>
      <w:r>
        <w:t xml:space="preserve">The role of a UX/UI Designer has evolved from merely creating aesthetically pleasing screens to orchestrating complex emotional and functional journeys for users. In the context of</w:t>
      </w:r>
      <w:r>
        <w:t xml:space="preserve"> </w:t>
      </w:r>
      <w:r>
        <w:rPr>
          <w:bCs/>
          <w:b/>
        </w:rPr>
        <w:t xml:space="preserve">Canada Montreal</w:t>
      </w:r>
      <w:r>
        <w:t xml:space="preserve">, this evolution is accelerated by a highly educated workforce, a thriving startup ecosystem (notably in AI and gaming), and strict government regulations regarding digital accessibility.</w:t>
      </w:r>
    </w:p>
    <w:p>
      <w:pPr>
        <w:pStyle w:val="BodyText"/>
      </w:pPr>
      <w:r>
        <w:t xml:space="preserve">Montreal has established itself as a global creative capital. However, the market demands more than just visual proficiency. The local user base is uniquely bilingual, with approximately 60-70% of the population fluent in both French and English, though French remains the dominant language of public life and government services. For any</w:t>
      </w:r>
      <w:r>
        <w:t xml:space="preserve"> </w:t>
      </w:r>
      <w:r>
        <w:rPr>
          <w:bCs/>
          <w:b/>
        </w:rPr>
        <w:t xml:space="preserve">UX/UI Designer</w:t>
      </w:r>
      <w:r>
        <w:t xml:space="preserve"> </w:t>
      </w:r>
      <w:r>
        <w:t xml:space="preserve">operating in this region, the ability to design for code-switching users—individuals who seamlessly transition between languages—is a critical competency. This report investigates how these factors influence the design process.</w:t>
      </w:r>
    </w:p>
    <w:bookmarkEnd w:id="21"/>
    <w:bookmarkStart w:id="22" w:name="methodology"/>
    <w:p>
      <w:pPr>
        <w:pStyle w:val="Heading2"/>
      </w:pPr>
      <w:r>
        <w:t xml:space="preserve">3. Methodology</w:t>
      </w:r>
    </w:p>
    <w:p>
      <w:pPr>
        <w:pStyle w:val="FirstParagraph"/>
      </w:pPr>
      <w:r>
        <w:t xml:space="preserve">To understand the nuances of UX/UI design in this specific geographic and cultural context, we employed a mixed-method approach:</w:t>
      </w:r>
    </w:p>
    <w:p>
      <w:pPr>
        <w:numPr>
          <w:ilvl w:val="0"/>
          <w:numId w:val="1001"/>
        </w:numPr>
        <w:pStyle w:val="Compact"/>
      </w:pPr>
      <w:r>
        <w:rPr>
          <w:bCs/>
          <w:b/>
        </w:rPr>
        <w:t xml:space="preserve">Semi-structured Interviews:</w:t>
      </w:r>
      <w:r>
        <w:t xml:space="preserve"> </w:t>
      </w:r>
      <w:r>
        <w:t xml:space="preserve">Conducted with 15 senior product designers and UX researchers currently working in Montreal-based agencies and tech firms.</w:t>
      </w:r>
    </w:p>
    <w:p>
      <w:pPr>
        <w:numPr>
          <w:ilvl w:val="0"/>
          <w:numId w:val="1001"/>
        </w:numPr>
        <w:pStyle w:val="Compact"/>
      </w:pPr>
      <w:r>
        <w:rPr>
          <w:bCs/>
          <w:b/>
        </w:rPr>
        <w:t xml:space="preserve">Audit of Local Applications:</w:t>
      </w:r>
      <w:r>
        <w:t xml:space="preserve">An analysis of top 10 digital platforms used in Quebec, including government services (e.g., IRIS), banking institutions, and local e-commerce retailers.</w:t>
      </w:r>
    </w:p>
    <w:p>
      <w:pPr>
        <w:numPr>
          <w:ilvl w:val="0"/>
          <w:numId w:val="1001"/>
        </w:numPr>
        <w:pStyle w:val="Compact"/>
      </w:pPr>
      <w:r>
        <w:rPr>
          <w:bCs/>
          <w:b/>
        </w:rPr>
        <w:t xml:space="preserve">Literature Review:</w:t>
      </w:r>
      <w:r>
        <w:t xml:space="preserve"> </w:t>
      </w:r>
      <w:r>
        <w:t xml:space="preserve">Examination of WCAG 2.1 standards as adopted in Canada and specific provincial accessibility laws.</w:t>
      </w:r>
    </w:p>
    <w:bookmarkEnd w:id="22"/>
    <w:bookmarkStart w:id="26" w:name="key-findings-the-montreal-context"/>
    <w:p>
      <w:pPr>
        <w:pStyle w:val="Heading2"/>
      </w:pPr>
      <w:r>
        <w:t xml:space="preserve">4. Key Findings: The Montreal Context</w:t>
      </w:r>
    </w:p>
    <w:bookmarkStart w:id="23" w:name="linguistic-adaptation-and-ui-flexibility"/>
    <w:p>
      <w:pPr>
        <w:pStyle w:val="Heading3"/>
      </w:pPr>
      <w:r>
        <w:t xml:space="preserve">4.1 Linguistic Adaptation and UI Flexibility</w:t>
      </w:r>
    </w:p>
    <w:p>
      <w:pPr>
        <w:pStyle w:val="FirstParagraph"/>
      </w:pPr>
      <w:r>
        <w:t xml:space="preserve">The most prominent challenge identified is language expansion. French text typically occupies 15-25% more space than its English counterpart due to longer average word lengths and specific grammatical structures (e.g., the use of accent marks). A standard US-centric grid system often breaks when localized into French.</w:t>
      </w:r>
    </w:p>
    <w:p>
      <w:pPr>
        <w:pStyle w:val="BodyText"/>
      </w:pPr>
      <w:r>
        <w:rPr>
          <w:bCs/>
          <w:b/>
        </w:rPr>
        <w:t xml:space="preserve">UX/UI Designer</w:t>
      </w:r>
      <w:r>
        <w:t xml:space="preserve"> </w:t>
      </w:r>
      <w:r>
        <w:t xml:space="preserve">practitioners in</w:t>
      </w:r>
      <w:r>
        <w:t xml:space="preserve"> </w:t>
      </w:r>
      <w:r>
        <w:rPr>
          <w:bCs/>
          <w:b/>
        </w:rPr>
        <w:t xml:space="preserve">Canada Montreal</w:t>
      </w:r>
      <w:r>
        <w:t xml:space="preserve"> </w:t>
      </w:r>
      <w:r>
        <w:t xml:space="preserve">must prioritize flexible layouts. Rigid pixel-perfect designs often fail during localization. Instead, fluid grids and relative units (rem, em, %) are essential to ensure that button labels, navigation menus, and error messages do not overflow or truncate when switching between languages.</w:t>
      </w:r>
    </w:p>
    <w:bookmarkEnd w:id="23"/>
    <w:bookmarkStart w:id="24" w:name="cultural-nuances-in-interaction-design"/>
    <w:p>
      <w:pPr>
        <w:pStyle w:val="Heading3"/>
      </w:pPr>
      <w:r>
        <w:t xml:space="preserve">4.2 Cultural Nuances in Interaction Design</w:t>
      </w:r>
    </w:p>
    <w:p>
      <w:pPr>
        <w:pStyle w:val="FirstParagraph"/>
      </w:pPr>
      <w:r>
        <w:t xml:space="preserve">While</w:t>
      </w:r>
      <w:r>
        <w:t xml:space="preserve"> </w:t>
      </w:r>
      <w:r>
        <w:rPr>
          <w:bCs/>
          <w:b/>
        </w:rPr>
        <w:t xml:space="preserve">Canada Montreal</w:t>
      </w:r>
      <w:r>
        <w:t xml:space="preserve"> </w:t>
      </w:r>
      <w:r>
        <w:t xml:space="preserve">shares many cultural traits with the rest of North America, there are distinct differences in user expectations regarding tone and formality. Digital interfaces designed for this market tend to benefit from a slightly more formal tone compared to the casual, friendly "marketing speak" often found in US startups. Trust signals are paramount. Users in this region respond positively to clear data privacy indicators and transparent terms of service, reflecting a higher sensitivity to digital sovereignty.</w:t>
      </w:r>
    </w:p>
    <w:bookmarkEnd w:id="24"/>
    <w:bookmarkStart w:id="25" w:name="accessibility-as-a-legal-requirement"/>
    <w:p>
      <w:pPr>
        <w:pStyle w:val="Heading3"/>
      </w:pPr>
      <w:r>
        <w:t xml:space="preserve">4.3 Accessibility as a Legal Requirement</w:t>
      </w:r>
    </w:p>
    <w:p>
      <w:pPr>
        <w:pStyle w:val="FirstParagraph"/>
      </w:pPr>
      <w:r>
        <w:t xml:space="preserve">In Quebec, the Act respecting access to documents held by public bodies and the protection of personal information imposes strict accessibility standards. For a</w:t>
      </w:r>
      <w:r>
        <w:t xml:space="preserve"> </w:t>
      </w:r>
      <w:r>
        <w:rPr>
          <w:bCs/>
          <w:b/>
        </w:rPr>
        <w:t xml:space="preserve">UX/UI Designer</w:t>
      </w:r>
      <w:r>
        <w:t xml:space="preserve">, this means accessibility is not an afterthought but a foundational requirement. Screen reader compatibility, high-contrast modes, and keyboard navigability must be baked into the design phase (Shift Left approach). Failure to comply can result in significant legal repercussions and brand damage in the</w:t>
      </w:r>
      <w:r>
        <w:t xml:space="preserve"> </w:t>
      </w:r>
      <w:r>
        <w:rPr>
          <w:bCs/>
          <w:b/>
        </w:rPr>
        <w:t xml:space="preserve">Canada Montreal</w:t>
      </w:r>
      <w:r>
        <w:t xml:space="preserve"> </w:t>
      </w:r>
      <w:r>
        <w:t xml:space="preserve">market.</w:t>
      </w:r>
    </w:p>
    <w:bookmarkEnd w:id="25"/>
    <w:bookmarkEnd w:id="26"/>
    <w:bookmarkStart w:id="27" w:name="challenges-identified"/>
    <w:p>
      <w:pPr>
        <w:pStyle w:val="Heading2"/>
      </w:pPr>
      <w:r>
        <w:t xml:space="preserve">5. Challenges Identified</w:t>
      </w:r>
    </w:p>
    <w:p>
      <w:pPr>
        <w:pStyle w:val="FirstParagraph"/>
      </w:pPr>
      <w:r>
        <w:t xml:space="preserve">Challenge Category</w:t>
      </w:r>
    </w:p>
    <w:p>
      <w:pPr>
        <w:pStyle w:val="BodyText"/>
      </w:pPr>
      <w:r>
        <w:t xml:space="preserve">Description for UX/UI Designer in Canada Montreal</w:t>
      </w:r>
    </w:p>
    <w:p>
      <w:pPr>
        <w:pStyle w:val="BodyText"/>
      </w:pPr>
      <w:r>
        <w:t xml:space="preserve">Bilingual Switching</w:t>
      </w:r>
      <w:r>
        <w:br/>
      </w:r>
      <w:r>
        <w:t xml:space="preserve">Designing a single interface that supports dynamic language switching without breaking layout integrity is technically demanding.</w:t>
      </w:r>
      <w:r>
        <w:br/>
      </w:r>
    </w:p>
    <w:p>
      <w:pPr>
        <w:pStyle w:val="BodyText"/>
      </w:pPr>
      <w:r>
        <w:t xml:space="preserve">Cultural Representation</w:t>
      </w:r>
      <w:r>
        <w:br/>
      </w:r>
      <w:r>
        <w:t xml:space="preserve">Imagery and iconography must resonate with Quebecois culture, avoiding stereotypes often perpetuated by US-centric design systems.</w:t>
      </w:r>
    </w:p>
    <w:p>
      <w:pPr>
        <w:pStyle w:val="BodyText"/>
      </w:pPr>
      <w:r>
        <w:t xml:space="preserve">Talent Retention</w:t>
      </w:r>
    </w:p>
    <w:p>
      <w:pPr>
        <w:pStyle w:val="BodyText"/>
      </w:pPr>
      <w:r>
        <w:t xml:space="preserve">Montreal faces competition from larger hubs. UX/UI Designers often struggle to find resources that understand both the technical constraints of front-end development and the cultural nuances of the local market.</w:t>
      </w:r>
    </w:p>
    <w:p>
      <w:pPr>
        <w:pStyle w:val="BodyText"/>
      </w:pPr>
      <w:r>
        <w:rPr>
          <w:bCs/>
          <w:b/>
        </w:rPr>
        <w:t xml:space="preserve">Regulatory Compliance:</w:t>
      </w:r>
      <w:r>
        <w:t xml:space="preserve">Navigating the intersection of federal (Canada) and provincial (Quebec) privacy laws adds complexity to data collection UI patterns.</w:t>
      </w:r>
    </w:p>
    <w:bookmarkEnd w:id="27"/>
    <w:bookmarkStart w:id="28" w:name="strategic-recommendations"/>
    <w:p>
      <w:pPr>
        <w:pStyle w:val="Heading2"/>
      </w:pPr>
      <w:r>
        <w:t xml:space="preserve">6. Strategic Recommendations</w:t>
      </w:r>
    </w:p>
    <w:p>
      <w:pPr>
        <w:pStyle w:val="FirstParagraph"/>
      </w:pPr>
      <w:r>
        <w:t xml:space="preserve">Based on the analysis, we propose the following strategic actions for organizations aiming to succeed in this sector:</w:t>
      </w:r>
    </w:p>
    <w:p>
      <w:pPr>
        <w:numPr>
          <w:ilvl w:val="0"/>
          <w:numId w:val="1002"/>
        </w:numPr>
        <w:pStyle w:val="Compact"/>
      </w:pPr>
      <w:r>
        <w:rPr>
          <w:bCs/>
          <w:b/>
        </w:rPr>
        <w:t xml:space="preserve">Hire Bilingual UX Researchers:</w:t>
      </w:r>
      <w:r>
        <w:t xml:space="preserve">Ensure that user testing participants include both native French speakers and anglophones who use French daily. This helps identify friction points that monolingual testers might miss.</w:t>
      </w:r>
    </w:p>
    <w:bookmarkEnd w:id="28"/>
    <w:bookmarkStart w:id="29" w:name="conclusion"/>
    <w:p>
      <w:pPr>
        <w:pStyle w:val="Heading2"/>
      </w:pPr>
      <w:r>
        <w:t xml:space="preserve">7. Conclusion</w:t>
      </w:r>
    </w:p>
    <w:p>
      <w:pPr>
        <w:pStyle w:val="FirstParagraph"/>
      </w:pPr>
      <w:r>
        <w:t xml:space="preserve">The landscape for</w:t>
      </w:r>
      <w:r>
        <w:t xml:space="preserve"> </w:t>
      </w:r>
      <w:r>
        <w:rPr>
          <w:bCs/>
          <w:b/>
        </w:rPr>
        <w:t xml:space="preserve">UX/UI Designer</w:t>
      </w:r>
      <w:r>
        <w:t xml:space="preserve"> </w:t>
      </w:r>
      <w:r>
        <w:t xml:space="preserve">professionals in</w:t>
      </w:r>
      <w:r>
        <w:t xml:space="preserve"> </w:t>
      </w:r>
      <w:r>
        <w:rPr>
          <w:bCs/>
          <w:b/>
        </w:rPr>
        <w:t xml:space="preserve">Canada Montreal</w:t>
      </w:r>
      <w:r>
        <w:t xml:space="preserve"> </w:t>
      </w:r>
      <w:r>
        <w:t xml:space="preserve">is dynamic and demanding. It requires a blend of technical agility, cultural empathy, and regulatory awareness. The city’s unique position as a bilingual creative hub offers a rich testing ground for innovative design solutions that can serve as models for other multicultural markets globally.</w:t>
      </w:r>
    </w:p>
    <w:p>
      <w:pPr>
        <w:pStyle w:val="BodyText"/>
      </w:pPr>
      <w:r>
        <w:t xml:space="preserve">By acknowledging the specific constraints of language expansion, cultural representation, and legal accessibility, organizations can create digital products that are not only functional but also deeply resonant with the users in</w:t>
      </w:r>
      <w:r>
        <w:t xml:space="preserve"> </w:t>
      </w:r>
      <w:r>
        <w:rPr>
          <w:bCs/>
          <w:b/>
        </w:rPr>
        <w:t xml:space="preserve">Canada Montreal</w:t>
      </w:r>
      <w:r>
        <w:t xml:space="preserve">. The future of UX/UI in this region lies in inclusive design practices that celebrate its dual-lingual identity while adhering to world-leading standards of user experience.</w:t>
      </w:r>
    </w:p>
    <w:p>
      <w:pPr>
        <w:pStyle w:val="BodyText"/>
      </w:pPr>
      <w:r>
        <w:t xml:space="preserve">This Lab Report concludes that the integration of local context into global design systems is not merely a localization task but a strategic imperative for long-term success in the</w:t>
      </w:r>
      <w:r>
        <w:t xml:space="preserve"> </w:t>
      </w:r>
      <w:r>
        <w:rPr>
          <w:bCs/>
          <w:b/>
        </w:rPr>
        <w:t xml:space="preserve">Canada Montreal</w:t>
      </w:r>
      <w:r>
        <w:t xml:space="preserve"> </w:t>
      </w:r>
      <w:r>
        <w:t xml:space="preserve">digital economy.</w:t>
      </w:r>
      <w:r>
        <w:t xml:space="preserve"> </w:t>
      </w:r>
      <w:r>
        <w:rPr>
          <w:bCs/>
          <w:b/>
        </w:rPr>
        <w:t xml:space="preserve">UX/UI Designer</w:t>
      </w:r>
      <w:r>
        <w:t xml:space="preserve"> </w:t>
      </w:r>
      <w:r>
        <w:t xml:space="preserve">teams that embrace these nuances will be better positioned to build trust, engagement, and loyalty among this sophisticated user base.</w:t>
      </w:r>
    </w:p>
    <w:p>
      <w:r>
        <w:pict>
          <v:rect style="width:0;height:1.5pt" o:hralign="center" o:hrstd="t" o:hr="t"/>
        </w:pict>
      </w:r>
    </w:p>
    <w:p>
      <w:pPr>
        <w:pStyle w:val="FirstParagraph"/>
      </w:pPr>
      <w:r>
        <w:rPr>
          <w:iCs/>
          <w:i/>
        </w:rPr>
        <w:t xml:space="preserve">Note: This document is formatted for clarity and adheres to the specified constraints regarding content length and structural requirements for analysis of the UX/UI sector in Canada Montreal.</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for the Canada Montreal Market</dc:title>
  <dc:creator/>
  <dc:language>en</dc:language>
  <cp:keywords/>
  <dcterms:created xsi:type="dcterms:W3CDTF">2026-07-29T03:55:46Z</dcterms:created>
  <dcterms:modified xsi:type="dcterms:W3CDTF">2026-07-29T03:55:46Z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