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UX/UI</w:t>
      </w:r>
      <w:r>
        <w:t xml:space="preserve"> </w:t>
      </w:r>
      <w:r>
        <w:t xml:space="preserve">Design</w:t>
      </w:r>
      <w:r>
        <w:t xml:space="preserve"> </w:t>
      </w:r>
      <w:r>
        <w:t xml:space="preserve">Dynamics</w:t>
      </w:r>
      <w:r>
        <w:t xml:space="preserve"> </w:t>
      </w:r>
      <w:r>
        <w:t xml:space="preserve">in</w:t>
      </w:r>
      <w:r>
        <w:t xml:space="preserve"> </w:t>
      </w:r>
      <w:r>
        <w:t xml:space="preserve">China</w:t>
      </w:r>
      <w:r>
        <w:t xml:space="preserve"> </w:t>
      </w:r>
      <w:r>
        <w:t xml:space="preserve">Guangzhou</w:t>
      </w:r>
    </w:p>
    <w:bookmarkStart w:id="30" w:name="X637ba16673d6bcf6b10a0f8d58a72187607a194"/>
    <w:p>
      <w:pPr>
        <w:pStyle w:val="Heading1"/>
      </w:pPr>
      <w:r>
        <w:t xml:space="preserve">Laboratory Report 09-B: Strategic Analysis of the UX/UI Designer Role within the China Guangzhou Technological Ecosystem</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Human-Computer Interaction &amp; Market Adaptation</w:t>
      </w:r>
      <w:r>
        <w:br/>
      </w:r>
      <w:r>
        <w:rPr>
          <w:bCs/>
          <w:b/>
        </w:rPr>
        <w:t xml:space="preserve">Focal Region:</w:t>
      </w:r>
      <w:r>
        <w:t xml:space="preserve">i&gt;  China Guangzhou</w:t>
      </w:r>
      <w:r>
        <w:br/>
      </w:r>
      <w:r>
        <w:br/>
      </w:r>
      <w:r>
        <w:t xml:space="preserve">This document serves as a comprehensive Laboratory Report detailing the operational parameters, cultural nuances, and technical demands placed upon a UX/UI Designer operating within the vibrant commercial hub of China Guangzhou.</w:t>
      </w:r>
    </w:p>
    <w:bookmarkStart w:id="20" w:name="executive-summary"/>
    <w:p>
      <w:pPr>
        <w:pStyle w:val="Heading2"/>
      </w:pPr>
      <w:r>
        <w:t xml:space="preserve">1. Executive Summary</w:t>
      </w:r>
    </w:p>
    <w:p>
      <w:pPr>
        <w:pStyle w:val="FirstParagraph"/>
      </w:pPr>
      <w:r>
        <w:t xml:space="preserve">The primary objective of this laboratory report is to analyze the specific responsibilities and environmental constraints faced by a</w:t>
      </w:r>
      <w:r>
        <w:t xml:space="preserve"> </w:t>
      </w:r>
      <w:r>
        <w:rPr>
          <w:bCs/>
          <w:b/>
        </w:rPr>
        <w:t xml:space="preserve">UX UI Designer</w:t>
      </w:r>
      <w:r>
        <w:t xml:space="preserve">. The study focuses specifically on</w:t>
      </w:r>
      <w:r>
        <w:t xml:space="preserve"> </w:t>
      </w:r>
      <w:r>
        <w:t xml:space="preserve">i&gt;  </w:t>
      </w:r>
      <w:r>
        <w:br/>
      </w:r>
      <w:r>
        <w:br/>
      </w:r>
      <w:r>
        <w:t xml:space="preserve">In recent years, China Guangzhou has emerged not merely as a manufacturing capital but as a critical node in the global digital economy. This report investigates how design principles must be adapted to align with local user behaviors, regulatory frameworks, and the hyper-fast iteration cycles characteristic of Chinese tech giants based in this region.</w:t>
      </w:r>
    </w:p>
    <w:bookmarkEnd w:id="20"/>
    <w:bookmarkStart w:id="21" w:name="introduction-and-contextual-framework"/>
    <w:p>
      <w:pPr>
        <w:pStyle w:val="Heading2"/>
      </w:pPr>
      <w:r>
        <w:t xml:space="preserve">2. Introduction and Contextual Framework</w:t>
      </w:r>
    </w:p>
    <w:p>
      <w:pPr>
        <w:pStyle w:val="FirstParagraph"/>
      </w:pPr>
      <w:r>
        <w:t xml:space="preserve">The role of a</w:t>
      </w:r>
      <w:r>
        <w:t xml:space="preserve"> </w:t>
      </w:r>
      <w:r>
        <w:rPr>
          <w:bCs/>
          <w:b/>
        </w:rPr>
        <w:t xml:space="preserve">UX UI Designer</w:t>
      </w:r>
      <w:r>
        <w:t xml:space="preserve"> </w:t>
      </w:r>
      <w:r>
        <w:t xml:space="preserve">is traditionally defined by the dual pursuit of utility (User Experience) and aesthetics (User Interface). However, when this role is transposed to</w:t>
      </w:r>
      <w:r>
        <w:t xml:space="preserve"> </w:t>
      </w:r>
      <w:r>
        <w:t xml:space="preserve">i&gt;  China Guangzhou, the definition expands to include cross-cultural competency and agility. Guangzhou serves as a bridge between traditional manufacturing supply chains and cutting-edge digital consumption. Consequently, the designer here does not merely design apps; they facilitate complex transactions between hardware production software ecosystems.</w:t>
      </w:r>
    </w:p>
    <w:p>
      <w:pPr>
        <w:pStyle w:val="BodyText"/>
      </w:pPr>
      <w:r>
        <w:t xml:space="preserve">This report posits that a successful</w:t>
      </w:r>
      <w:r>
        <w:t xml:space="preserve"> </w:t>
      </w:r>
      <w:r>
        <w:rPr>
          <w:bCs/>
          <w:b/>
        </w:rPr>
        <w:t xml:space="preserve">UX UI Designer</w:t>
      </w:r>
      <w:r>
        <w:t xml:space="preserve"> </w:t>
      </w:r>
      <w:r>
        <w:t xml:space="preserve">in</w:t>
      </w:r>
      <w:r>
        <w:t xml:space="preserve"> </w:t>
      </w:r>
      <w:r>
        <w:t xml:space="preserve">i&gt;  China Guangzhou must navigate three distinct layers: the technological layer (super-app integration), the cultural layer (local aesthetic preferences and information density), and the operational layer (rapid prototyping demands).</w:t>
      </w:r>
    </w:p>
    <w:bookmarkEnd w:id="21"/>
    <w:bookmarkStart w:id="22" w:name="methodology-of-analysis"/>
    <w:p>
      <w:pPr>
        <w:pStyle w:val="Heading2"/>
      </w:pPr>
      <w:r>
        <w:t xml:space="preserve">3. Methodology of Analysis</w:t>
      </w:r>
    </w:p>
    <w:p>
      <w:pPr>
        <w:pStyle w:val="FirstParagraph"/>
      </w:pPr>
      <w:r>
        <w:t xml:space="preserve">To ensure a robust analysis, this laboratory report utilizes a qualitative case study approach. Data was synthesized from observed market trends in</w:t>
      </w:r>
      <w:r>
        <w:t xml:space="preserve"> </w:t>
      </w:r>
      <w:r>
        <w:t xml:space="preserve">i&gt;  China Guangzhou, user behavioral studies regarding mobile interface interactions, and comparative analyses of design systems used by local fintech and e-commerce platforms. The focus remains strictly on the practical application of</w:t>
      </w:r>
      <w:r>
        <w:t xml:space="preserve"> </w:t>
      </w:r>
      <w:r>
        <w:rPr>
          <w:bCs/>
          <w:b/>
        </w:rPr>
        <w:t xml:space="preserve">UX UI Designer</w:t>
      </w:r>
      <w:r>
        <w:t xml:space="preserve"> </w:t>
      </w:r>
      <w:r>
        <w:t xml:space="preserve">competencies within this specific geographic constraint.</w:t>
      </w:r>
    </w:p>
    <w:bookmarkEnd w:id="22"/>
    <w:bookmarkStart w:id="26" w:name="Xbd60b2e7701f887d5dafaabfff3dc062d891c89"/>
    <w:p>
      <w:pPr>
        <w:pStyle w:val="Heading2"/>
      </w:pPr>
      <w:r>
        <w:t xml:space="preserve">4. Core Findings: The Localized UX/UI Paradigm</w:t>
      </w:r>
    </w:p>
    <w:bookmarkStart w:id="23" w:name="information-density-and-hierarchy"/>
    <w:p>
      <w:pPr>
        <w:pStyle w:val="Heading3"/>
      </w:pPr>
      <w:r>
        <w:t xml:space="preserve">4.1 Information Density and Hierarchy</w:t>
      </w:r>
    </w:p>
    <w:p>
      <w:pPr>
        <w:pStyle w:val="FirstParagraph"/>
      </w:pPr>
      <w:r>
        <w:br/>
      </w:r>
      <w:r>
        <w:t xml:space="preserve">In Western design philosophies, minimalism often reigns supreme. However, in</w:t>
      </w:r>
      <w:r>
        <w:t xml:space="preserve"> </w:t>
      </w:r>
      <w:r>
        <w:t xml:space="preserve">i&gt;  China Guangzhou, the prevailing user expectation favors high information density. Users are accustomed to dashboards that provide immediate access to transaction history, promotional banners, social feeds, and utility tools simultaneously. A</w:t>
      </w:r>
      <w:r>
        <w:t xml:space="preserve"> </w:t>
      </w:r>
      <w:r>
        <w:rPr>
          <w:bCs/>
          <w:b/>
        </w:rPr>
        <w:t xml:space="preserve">UX UI Designer</w:t>
      </w:r>
      <w:r>
        <w:t xml:space="preserve"> </w:t>
      </w:r>
      <w:r>
        <w:t xml:space="preserve">failing to account for this may produce interfaces deemed "empty" or "lacking value" by local users. Therefore, the design challenge in</w:t>
      </w:r>
      <w:r>
        <w:t xml:space="preserve"> </w:t>
      </w:r>
      <w:r>
        <w:t xml:space="preserve">i&gt;  China Guangzhou is not about removing clutter, but rather organizing complex data streams into digestible, prioritized hierarchies.</w:t>
      </w:r>
    </w:p>
    <w:bookmarkEnd w:id="23"/>
    <w:bookmarkStart w:id="24" w:name="the-super-app-ecosystem"/>
    <w:p>
      <w:pPr>
        <w:pStyle w:val="Heading3"/>
      </w:pPr>
      <w:r>
        <w:t xml:space="preserve">4.2 The Super-App Ecosystem</w:t>
      </w:r>
    </w:p>
    <w:p>
      <w:pPr>
        <w:pStyle w:val="FirstParagraph"/>
      </w:pPr>
      <w:r>
        <w:br/>
      </w:r>
      <w:r>
        <w:t xml:space="preserve">A defining characteristic of the digital landscape in</w:t>
      </w:r>
      <w:r>
        <w:t xml:space="preserve"> </w:t>
      </w:r>
      <w:r>
        <w:t xml:space="preserve">i&gt;  China Guangzhou is the dominance of super-apps such as WeChat and Alipay. These platforms function as operating systems within operating systems. For a</w:t>
      </w:r>
      <w:r>
        <w:t xml:space="preserve"> </w:t>
      </w:r>
      <w:r>
        <w:rPr>
          <w:bCs/>
          <w:b/>
        </w:rPr>
        <w:t xml:space="preserve">UX UI Designer</w:t>
      </w:r>
      <w:r>
        <w:t xml:space="preserve">, this means that native development is often secondary to mini-program development. Designers must master the specific design guidelines set by these ecosystem holders while maintaining brand identity. The integration of social commerce—where sharing and gifting are integral parts of the user journey—is a critical component of UX strategy in this region.</w:t>
      </w:r>
    </w:p>
    <w:bookmarkEnd w:id="24"/>
    <w:bookmarkStart w:id="25" w:name="payment-integration-as-ux"/>
    <w:p>
      <w:pPr>
        <w:pStyle w:val="Heading3"/>
      </w:pPr>
      <w:r>
        <w:t xml:space="preserve">4.3 Payment Integration as UX</w:t>
      </w:r>
    </w:p>
    <w:p>
      <w:pPr>
        <w:pStyle w:val="FirstParagraph"/>
      </w:pPr>
      <w:r>
        <w:br/>
      </w:r>
      <w:r>
        <w:t xml:space="preserve">In</w:t>
      </w:r>
      <w:r>
        <w:t xml:space="preserve"> </w:t>
      </w:r>
      <w:r>
        <w:t xml:space="preserve">i&gt;  China Guangzhou, the checkout process is seamless due to ubiquitous QR code scanning and facial recognition payments. The friction associated with entering credit card details in Western markets is non-existent here. Consequently, the</w:t>
      </w:r>
      <w:r>
        <w:t xml:space="preserve"> </w:t>
      </w:r>
      <w:r>
        <w:rPr>
          <w:bCs/>
          <w:b/>
        </w:rPr>
        <w:t xml:space="preserve">UX UI Designer</w:t>
      </w:r>
      <w:r>
        <w:t xml:space="preserve"> </w:t>
      </w:r>
      <w:r>
        <w:t xml:space="preserve">must rethink conversion funnels. The focus shifts from "payment security anxiety" reduction to "speed of transaction" optimization and post-purchase engagement (such as loyalty points integration within the same interface).</w:t>
      </w:r>
    </w:p>
    <w:bookmarkEnd w:id="25"/>
    <w:bookmarkEnd w:id="26"/>
    <w:bookmarkStart w:id="27" w:name="challenges-and-ethical-considerations"/>
    <w:p>
      <w:pPr>
        <w:pStyle w:val="Heading2"/>
      </w:pPr>
      <w:r>
        <w:t xml:space="preserve">5. Challenges and Ethical Considerations</w:t>
      </w:r>
    </w:p>
    <w:p>
      <w:pPr>
        <w:pStyle w:val="FirstParagraph"/>
      </w:pPr>
      <w:r>
        <w:br/>
      </w:r>
      <w:r>
        <w:t xml:space="preserve">The operational tempo in</w:t>
      </w:r>
      <w:r>
        <w:t xml:space="preserve"> </w:t>
      </w:r>
      <w:r>
        <w:t xml:space="preserve">i&gt;  China Guangzhou is relentless. Sprint cycles for a</w:t>
      </w:r>
      <w:r>
        <w:t xml:space="preserve"> </w:t>
      </w:r>
      <w:r>
        <w:rPr>
          <w:bCs/>
          <w:b/>
        </w:rPr>
        <w:t xml:space="preserve">UX UI Designer</w:t>
      </w:r>
      <w:r>
        <w:t xml:space="preserve"> </w:t>
      </w:r>
      <w:r>
        <w:t xml:space="preserve">can be as short as 48 hours during peak shopping festivals like Double 11 (Singles' Day). This speed poses significant risks to user testing rigor. There is a constant tension between the need for rapid iteration and the necessity of maintaining ethical design standards, particularly regarding data privacy which is becoming increasingly regulated in China. Designers must ensure that dark patterns are minimized, even under pressure to drive engagement metrics.</w:t>
      </w:r>
    </w:p>
    <w:bookmarkEnd w:id="27"/>
    <w:bookmarkStart w:id="28" w:name="recommendations-for-practice"/>
    <w:p>
      <w:pPr>
        <w:pStyle w:val="Heading2"/>
      </w:pPr>
      <w:r>
        <w:t xml:space="preserve">6. Recommendations for Practice</w:t>
      </w:r>
    </w:p>
    <w:p>
      <w:pPr>
        <w:pStyle w:val="FirstParagraph"/>
      </w:pPr>
      <w:r>
        <w:br/>
      </w:r>
      <w:r>
        <w:t xml:space="preserve">To excel as a</w:t>
      </w:r>
      <w:r>
        <w:t xml:space="preserve"> </w:t>
      </w:r>
      <w:r>
        <w:rPr>
          <w:bCs/>
          <w:b/>
        </w:rPr>
        <w:t xml:space="preserve">UX UI Designer</w:t>
      </w:r>
      <w:r>
        <w:t xml:space="preserve"> </w:t>
      </w:r>
      <w:r>
        <w:t xml:space="preserve">in this market, professionals should adopt the following strategies:</w:t>
      </w:r>
      <w:r>
        <w:br/>
      </w:r>
    </w:p>
    <w:p>
      <w:pPr>
        <w:numPr>
          <w:ilvl w:val="0"/>
          <w:numId w:val="1001"/>
        </w:numPr>
        <w:pStyle w:val="Compact"/>
      </w:pPr>
      <w:r>
        <w:rPr>
          <w:bCs/>
          <w:b/>
        </w:rPr>
        <w:t xml:space="preserve">Cultural Immersion:</w:t>
      </w:r>
      <w:r>
        <w:t xml:space="preserve">  Do not rely solely on translated interfaces. Engage with local cultural trends and slang to create resonant micro-copy.</w:t>
      </w:r>
    </w:p>
    <w:p>
      <w:pPr>
        <w:numPr>
          <w:ilvl w:val="0"/>
          <w:numId w:val="1001"/>
        </w:numPr>
        <w:pStyle w:val="Compact"/>
      </w:pPr>
      <w:r>
        <w:rPr>
          <w:bCs/>
          <w:b/>
        </w:rPr>
        <w:t xml:space="preserve">Tool Mastery:</w:t>
      </w:r>
      <w:r>
        <w:t xml:space="preserve">  Familiarize yourself with design tools popular in</w:t>
      </w:r>
      <w:r>
        <w:t xml:space="preserve"> </w:t>
      </w:r>
      <w:r>
        <w:t xml:space="preserve">i&gt;  China Guangzhou, including domestic variations of Figma or proprietary AI-assisted design tools favored by local agencies.</w:t>
      </w:r>
    </w:p>
    <w:p>
      <w:pPr>
        <w:numPr>
          <w:ilvl w:val="0"/>
          <w:numId w:val="1001"/>
        </w:numPr>
        <w:pStyle w:val="Compact"/>
      </w:pPr>
      <w:r>
        <w:rPr>
          <w:bCs/>
          <w:b/>
        </w:rPr>
        <w:t xml:space="preserve">Data-Driven Empathy:</w:t>
      </w:r>
      <w:r>
        <w:t xml:space="preserve">  Leverage the massive amounts of user behavior data available in the region to inform design decisions, moving beyond intuition to evidence-based interface adjustments.</w:t>
      </w:r>
    </w:p>
    <w:bookmarkEnd w:id="28"/>
    <w:bookmarkStart w:id="29" w:name="conclusion"/>
    <w:p>
      <w:pPr>
        <w:pStyle w:val="Heading2"/>
      </w:pPr>
      <w:r>
        <w:t xml:space="preserve">7. Conclusion</w:t>
      </w:r>
    </w:p>
    <w:p>
      <w:pPr>
        <w:pStyle w:val="FirstParagraph"/>
      </w:pPr>
      <w:r>
        <w:br/>
      </w:r>
      <w:r>
        <w:t xml:space="preserve">This laboratory report concludes that the role of a</w:t>
      </w:r>
      <w:r>
        <w:t xml:space="preserve"> </w:t>
      </w:r>
      <w:r>
        <w:rPr>
          <w:bCs/>
          <w:b/>
        </w:rPr>
        <w:t xml:space="preserve">UX UI Designer</w:t>
      </w:r>
      <w:r>
        <w:t xml:space="preserve"> </w:t>
      </w:r>
      <w:r>
        <w:t xml:space="preserve">in</w:t>
      </w:r>
      <w:r>
        <w:t xml:space="preserve"> </w:t>
      </w:r>
      <w:r>
        <w:t xml:space="preserve">i&gt;  China Guangzhou is fundamentally different from its Western counterparts. It requires a hybrid skill set combining high-density visual communication, deep integration with super-app ecosystems, and extreme operational agility. The market in</w:t>
      </w:r>
      <w:r>
        <w:t xml:space="preserve"> </w:t>
      </w:r>
      <w:r>
        <w:t xml:space="preserve">i&gt;  China Guangzhou rewards designers who can balance aesthetic sophistication with functional robustness at scale. As the digital infrastructure of the Pearl River Delta continues to evolve, the</w:t>
      </w:r>
      <w:r>
        <w:t xml:space="preserve"> </w:t>
      </w:r>
      <w:r>
        <w:rPr>
          <w:bCs/>
          <w:b/>
        </w:rPr>
        <w:t xml:space="preserve">UX UI Designer</w:t>
      </w:r>
      <w:r>
        <w:t xml:space="preserve"> </w:t>
      </w:r>
      <w:r>
        <w:t xml:space="preserve">will remain a pivotal architect in shaping how millions of users interact with technology. Understanding these localized nuances is not optional; it is a prerequisite for professional success in this dynamic region.</w:t>
      </w:r>
    </w:p>
    <w:p>
      <w:pPr>
        <w:pStyle w:val="BodyText"/>
      </w:pPr>
      <w:r>
        <w:t xml:space="preserve">KPI Metric</w:t>
      </w:r>
    </w:p>
    <w:p>
      <w:pPr>
        <w:pStyle w:val="BodyText"/>
      </w:pPr>
      <w:r>
        <w:t xml:space="preserve">Standard Western Model</w:t>
      </w:r>
    </w:p>
    <w:p>
      <w:pPr>
        <w:pStyle w:val="BodyText"/>
      </w:pPr>
      <w:r>
        <w:t xml:space="preserve">i&gt;  China Guangzhou Model</w:t>
      </w:r>
      <w:r>
        <w:br/>
      </w:r>
      <w:r>
        <w:t xml:space="preserve"> </w:t>
      </w:r>
      <w:r>
        <w:br/>
      </w:r>
    </w:p>
    <w:p>
      <w:pPr>
        <w:pStyle w:val="BodyText"/>
      </w:pPr>
      <w:r>
        <w:t xml:space="preserve">Avg. Click Depth</w:t>
      </w:r>
    </w:p>
    <w:p>
      <w:pPr>
        <w:pStyle w:val="BodyText"/>
      </w:pPr>
      <w:r>
        <w:t xml:space="preserve">High (Deep navigation)</w:t>
      </w:r>
      <w:r>
        <w:rPr>
          <w:iCs/>
          <w:i/>
        </w:rPr>
        <w:t xml:space="preserve">&gt;Short (Direct access)</w:t>
      </w:r>
    </w:p>
    <w:p>
      <w:pPr>
        <w:pStyle w:val="BodyText"/>
      </w:pPr>
      <w:r>
        <w:t xml:space="preserve">Data PresentationDense, Multi-panel view</w:t>
      </w:r>
      <w:r>
        <w:br/>
      </w:r>
    </w:p>
    <w:p>
      <w:pPr>
        <w:pStyle w:val="BodyText"/>
      </w:pPr>
      <w:r>
        <w:t xml:space="preserve">End of Laboratory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UX/UI Design Dynamics in China Guangzhou</dc:title>
  <dc:creator/>
  <dc:language>en</dc:language>
  <cp:keywords/>
  <dcterms:created xsi:type="dcterms:W3CDTF">2026-07-29T12:28:24Z</dcterms:created>
  <dcterms:modified xsi:type="dcterms:W3CDTF">2026-07-29T12:28:24Z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