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Ecosystem</w:t>
      </w:r>
      <w:r>
        <w:t xml:space="preserve"> </w:t>
      </w:r>
      <w:r>
        <w:t xml:space="preserve">Analysis</w:t>
      </w:r>
      <w:r>
        <w:t xml:space="preserve"> </w:t>
      </w:r>
      <w:r>
        <w:t xml:space="preserve">in</w:t>
      </w:r>
      <w:r>
        <w:t xml:space="preserve"> </w:t>
      </w:r>
      <w:r>
        <w:t xml:space="preserve">China</w:t>
      </w:r>
      <w:r>
        <w:t xml:space="preserve"> </w:t>
      </w:r>
      <w:r>
        <w:t xml:space="preserve">Shanghai</w:t>
      </w:r>
    </w:p>
    <w:bookmarkStart w:id="30" w:name="laboratory-analysis-report"/>
    <w:p>
      <w:pPr>
        <w:pStyle w:val="Heading1"/>
      </w:pPr>
      <w:r>
        <w:t xml:space="preserve">Laboratory Analysis Report</w:t>
      </w:r>
    </w:p>
    <w:p>
      <w:pPr>
        <w:pStyle w:val="FirstParagraph"/>
      </w:pPr>
      <w:r>
        <w:rPr>
          <w:bCs/>
          <w:b/>
        </w:rPr>
        <w:t xml:space="preserve">Date:</w:t>
      </w:r>
    </w:p>
    <w:p>
      <w:pPr>
        <w:pStyle w:val="BodyText"/>
      </w:pPr>
      <w:r>
        <w:t xml:space="preserve">2023-10-27 9:45 AM CDT - 5:45 PM CST</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laboratory report provides a comprehensive analysis of the User Experience (UX) and User Interface (UI) design landscape within the specific geographic and cultural context of China Shanghai. As the global hub for technology innovation and e-commerce, Shanghai represents a unique "living lab" for digital product design. This document outlines the critical methodologies, user behaviors, and platform-specific constraints that define success for a UX/UI Designer operating in this region. The findings suggest that while core design principles remain universal, local adaptation is not merely beneficial but mandatory for market penetration.</w:t>
      </w:r>
    </w:p>
    <w:bookmarkEnd w:id="20"/>
    <w:bookmarkStart w:id="21" w:name="introduction-the-shanghai-context"/>
    <w:p>
      <w:pPr>
        <w:pStyle w:val="Heading2"/>
      </w:pPr>
      <w:r>
        <w:t xml:space="preserve">2. Introduction: The Shanghai Context</w:t>
      </w:r>
    </w:p>
    <w:p>
      <w:pPr>
        <w:pStyle w:val="FirstParagraph"/>
      </w:pPr>
      <w:r>
        <w:t xml:space="preserve">The role of a UX/UI Designer in China Shanghai diverges significantly from Western counterparts due to the unique digital ecosystem dominated by super-apps like WeChat (Weixin), Alipay, and Douyin. Unlike the fragmented web experience prevalent in Europe or North America, Chinese users are accustomed to integrated environments where social networking, payments, logistics, and information consumption occur within single ecosystems.</w:t>
      </w:r>
    </w:p>
    <w:p>
      <w:pPr>
        <w:pStyle w:val="BodyText"/>
      </w:pPr>
      <w:r>
        <w:t xml:space="preserve">Shanghai serves as the testing ground for these trends due its high density of tech-savvy users and rapid adoption of new technologies. For any organization looking to launch or refine products in this region understanding the nuances is crucial. This lab report aims to dissect these nuances through observational data, user interviews, and interface audits.</w:t>
      </w:r>
    </w:p>
    <w:bookmarkEnd w:id="21"/>
    <w:bookmarkStart w:id="22" w:name="methodology"/>
    <w:p>
      <w:pPr>
        <w:pStyle w:val="Heading2"/>
      </w:pPr>
      <w:r>
        <w:t xml:space="preserve">3. Methodology</w:t>
      </w:r>
    </w:p>
    <w:p>
      <w:pPr>
        <w:pStyle w:val="FirstParagraph"/>
      </w:pPr>
      <w:r>
        <w:t xml:space="preserve">To ensure a robust analysis, the following methods were employed during this laboratory study:</w:t>
      </w:r>
    </w:p>
    <w:p>
      <w:pPr>
        <w:numPr>
          <w:ilvl w:val="0"/>
          <w:numId w:val="1001"/>
        </w:numPr>
        <w:pStyle w:val="Compact"/>
      </w:pPr>
      <w:r>
        <w:rPr>
          <w:bCs/>
          <w:b/>
        </w:rPr>
        <w:t xml:space="preserve">User Observation Sessions:</w:t>
      </w:r>
    </w:p>
    <w:p>
      <w:pPr>
        <w:pStyle w:val="FirstParagraph"/>
      </w:pPr>
      <w:r>
        <w:t xml:space="preserve">We conducted 15 in-person observation sessions with users aged 25-40 in major commercial districts such as Jing’an and Lujiazui. Participants were asked to complete common tasks (e.g., booking a ride, ordering food, scanning a QR code for payment) on their primary devices.</w:t>
      </w:r>
    </w:p>
    <w:p>
      <w:pPr>
        <w:pStyle w:val="BodyText"/>
      </w:pPr>
      <w:r>
        <w:rPr>
          <w:bCs/>
          <w:b/>
        </w:rPr>
        <w:t xml:space="preserve">Competitive Interface Audit:</w:t>
      </w:r>
    </w:p>
    <w:p>
      <w:pPr>
        <w:pStyle w:val="BodyText"/>
      </w:pPr>
      <w:r>
        <w:t xml:space="preserve">We analyzed the top 10 most downloaded lifestyle and e-commerce apps in Shanghai, focusing on navigation patterns, information hierarchy, and visual density.</w:t>
      </w:r>
    </w:p>
    <w:p>
      <w:pPr>
        <w:pStyle w:val="BodyText"/>
      </w:pPr>
      <w:r>
        <w:rPr>
          <w:bCs/>
          <w:b/>
        </w:rPr>
        <w:t xml:space="preserve">Cultural Heuristic Evaluation:</w:t>
      </w:r>
    </w:p>
    <w:p>
      <w:pPr>
        <w:pStyle w:val="BodyText"/>
      </w:pPr>
      <w:r>
        <w:t xml:space="preserve">We evaluated existing international brand interfaces against local heuristics, specifically looking for friction points related to language complexity and feature integration.</w:t>
      </w:r>
    </w:p>
    <w:bookmarkEnd w:id="22"/>
    <w:bookmarkStart w:id="29" w:name="key-findings"/>
    <w:p>
      <w:pPr>
        <w:pStyle w:val="Heading2"/>
      </w:pPr>
      <w:r>
        <w:t xml:space="preserve">4. Key Findings</w:t>
      </w:r>
    </w:p>
    <w:bookmarkStart w:id="23" w:name="information-density-and-visual-hierarchy"/>
    <w:p>
      <w:pPr>
        <w:pStyle w:val="Heading3"/>
      </w:pPr>
      <w:r>
        <w:t xml:space="preserve">4.1 Information Density and Visual Hierarchy</w:t>
      </w:r>
    </w:p>
    <w:p>
      <w:pPr>
        <w:pStyle w:val="FirstParagraph"/>
      </w:pPr>
      <w:r>
        <w:t xml:space="preserve">A striking difference observed in Shanghai is the high tolerance for information density. While minimalist "Apple-style" design is appreciated, it often fails to convey value or comprehensiveness to the average consumer in China Shanghai. Users expect interfaces that display multiple data points, promotions, and navigation options simultaneously. A sparse interface can be interpreted as lacking content or functionality.</w:t>
      </w:r>
    </w:p>
    <w:p>
      <w:pPr>
        <w:pStyle w:val="BlockText"/>
      </w:pPr>
      <w:r>
        <w:rPr>
          <w:bCs/>
          <w:b/>
        </w:rPr>
        <w:t xml:space="preserve">Observation:</w:t>
      </w:r>
      <w:r>
        <w:t xml:space="preserve"> </w:t>
      </w:r>
      <w:r>
        <w:t xml:space="preserve">In our audit of a global fintech app localized for Shanghai users, conversion rates dropped by 40% when the interface was simplified to match European standards. Re-introducing dense, feature-rich layouts increased engagement significantly.</w:t>
      </w:r>
    </w:p>
    <w:bookmarkEnd w:id="23"/>
    <w:bookmarkStart w:id="24" w:name="the-super-app-paradigm-and-mini-programs"/>
    <w:p>
      <w:pPr>
        <w:pStyle w:val="Heading3"/>
      </w:pPr>
      <w:r>
        <w:t xml:space="preserve">4.2 The Super-App Paradigm and Mini-Programs</w:t>
      </w:r>
    </w:p>
    <w:p>
      <w:pPr>
        <w:pStyle w:val="FirstParagraph"/>
      </w:pPr>
      <w:r>
        <w:t xml:space="preserve">The UX/UI Designer in China Shanghai must design not just for standalone apps, but for "Mini Programs" embedded within WeChat and Alipay. This imposes unique constraints:</w:t>
      </w:r>
    </w:p>
    <w:p>
      <w:pPr>
        <w:numPr>
          <w:ilvl w:val="0"/>
          <w:numId w:val="1002"/>
        </w:numPr>
        <w:pStyle w:val="Compact"/>
      </w:pPr>
      <w:r>
        <w:rPr>
          <w:bCs/>
          <w:b/>
        </w:rPr>
        <w:t xml:space="preserve">Loading Speed:</w:t>
      </w:r>
    </w:p>
    <w:p>
      <w:pPr>
        <w:pStyle w:val="FirstParagraph"/>
      </w:pPr>
      <w:r>
        <w:t xml:space="preserve">Mini-programs must load instantly. Heavy animations or large assets are discouraged.</w:t>
      </w:r>
    </w:p>
    <w:p>
      <w:pPr>
        <w:pStyle w:val="BodyText"/>
      </w:pPr>
      <w:r>
        <w:rPr>
          <w:bCs/>
          <w:b/>
        </w:rPr>
        <w:t xml:space="preserve">Native Feel:</w:t>
      </w:r>
    </w:p>
    <w:p>
      <w:pPr>
        <w:pStyle w:val="BodyText"/>
      </w:pPr>
      <w:r>
        <w:t xml:space="preserve">Users expect the mini-program to feel like a native extension of WeChat, using familiar UI components (e.g., bottom navigation bars that match WeChat’s aesthetic).</w:t>
      </w:r>
    </w:p>
    <w:p>
      <w:pPr>
        <w:pStyle w:val="BodyText"/>
      </w:pPr>
      <w:r>
        <w:rPr>
          <w:bCs/>
          <w:b/>
        </w:rPr>
        <w:t xml:space="preserve">Login Simplification:</w:t>
      </w:r>
    </w:p>
    <w:p>
      <w:pPr>
        <w:pStyle w:val="BodyText"/>
      </w:pPr>
      <w:r>
        <w:t xml:space="preserve">Password-based logins are friction-heavy. Social login via WeChat ID is the standard expectation.</w:t>
      </w:r>
    </w:p>
    <w:bookmarkEnd w:id="24"/>
    <w:bookmarkStart w:id="28" w:name="mobile-first-and-gesture-navigation"/>
    <w:p>
      <w:pPr>
        <w:pStyle w:val="Heading3"/>
      </w:pPr>
      <w:r>
        <w:t xml:space="preserve">4.3 Mobile-First and Gesture Navigation</w:t>
      </w:r>
    </w:p>
    <w:p>
      <w:pPr>
        <w:pStyle w:val="FirstParagraph"/>
      </w:pPr>
      <w:r>
        <w:t xml:space="preserve">In China Shanghai, mobile devices are the primary (and often only) gateway to digital services. Desktop experiences are secondary or non-existent for many lifestyle categories.</w:t>
      </w:r>
    </w:p>
    <w:p>
      <w:pPr>
        <w:numPr>
          <w:ilvl w:val="0"/>
          <w:numId w:val="1003"/>
        </w:numPr>
        <w:pStyle w:val="Compact"/>
      </w:pPr>
      <w:r>
        <w:rPr>
          <w:bCs/>
          <w:b/>
        </w:rPr>
        <w:t xml:space="preserve">Gestures:</w:t>
      </w:r>
    </w:p>
    <w:p>
      <w:pPr>
        <w:numPr>
          <w:ilvl w:val="0"/>
          <w:numId w:val="1003"/>
        </w:numPr>
      </w:pPr>
      <w:r>
        <w:t xml:space="preserve">Finger Targets:4.4 Social Integration and FOMO (Fear Of Missing Out)</w:t>
      </w:r>
    </w:p>
    <w:p>
      <w:pPr>
        <w:numPr>
          <w:ilvl w:val="0"/>
          <w:numId w:val="1000"/>
        </w:numPr>
      </w:pPr>
      <w:r>
        <w:t xml:space="preserve">UX patterns that encourage social sharing are highly effective in this region. Features such as "Group Buying," "Share to Unlock Discounts," and "Leaderboards" drive significant user retention. The UI must prominently feature social proof elements, such as user reviews, purchase counts, and influencer recommendations.</w:t>
      </w:r>
    </w:p>
    <w:p>
      <w:pPr>
        <w:numPr>
          <w:ilvl w:val="0"/>
          <w:numId w:val="1000"/>
        </w:numPr>
        <w:pStyle w:val="Heading2"/>
      </w:pPr>
      <w:bookmarkStart w:id="25" w:name="X657a99b533afe3290da5347dd82a7dd396a4ea6"/>
      <w:r>
        <w:t xml:space="preserve">5. Discussion: Implications for UX/UI Designers</w:t>
      </w:r>
      <w:bookmarkEnd w:id="25"/>
    </w:p>
    <w:p>
      <w:pPr>
        <w:numPr>
          <w:ilvl w:val="0"/>
          <w:numId w:val="1000"/>
        </w:numPr>
      </w:pPr>
      <w:r>
        <w:t xml:space="preserve">The role of a UX/UI Designer in China Shanghai is not just about aesthetics but about navigating a complex web of user expectations, technical constraints, and cultural preferences. Designers must:</w:t>
      </w:r>
    </w:p>
    <w:p>
      <w:pPr>
        <w:numPr>
          <w:ilvl w:val="1"/>
          <w:numId w:val="1004"/>
        </w:numPr>
        <w:pStyle w:val="Compact"/>
      </w:pPr>
      <w:r>
        <w:rPr>
          <w:bCs/>
          <w:b/>
        </w:rPr>
        <w:t xml:space="preserve">Adapt to High Density:</w:t>
      </w:r>
    </w:p>
    <w:p>
      <w:pPr>
        <w:numPr>
          <w:ilvl w:val="0"/>
          <w:numId w:val="1000"/>
        </w:numPr>
      </w:pPr>
      <w:r>
        <w:t xml:space="preserve">Avoid over-minimalization. Ensure all value propositions and navigation options are visible above the fold.</w:t>
      </w:r>
    </w:p>
    <w:p>
      <w:pPr>
        <w:numPr>
          <w:ilvl w:val="0"/>
          <w:numId w:val="1003"/>
        </w:numPr>
        <w:pStyle w:val="Compact"/>
      </w:pPr>
      <w:r>
        <w:rPr>
          <w:bCs/>
          <w:b/>
        </w:rPr>
        <w:t xml:space="preserve">Optimize for Super-Apps:</w:t>
      </w:r>
    </w:p>
    <w:p>
      <w:pPr>
        <w:numPr>
          <w:ilvl w:val="0"/>
          <w:numId w:val="1003"/>
        </w:numPr>
        <w:pStyle w:val="Compact"/>
      </w:pPr>
      <w:r>
        <w:rPr>
          <w:bCs/>
          <w:b/>
        </w:rPr>
        <w:t xml:space="preserve">Incorporate Social Mechanics:</w:t>
      </w:r>
    </w:p>
    <w:p>
      <w:pPr>
        <w:numPr>
          <w:ilvl w:val="0"/>
          <w:numId w:val="1003"/>
        </w:numPr>
      </w:pPr>
      <w:r>
        <w:rPr>
          <w:bCs/>
          <w:b/>
        </w:rPr>
        <w:t xml:space="preserve">Prioritize Mobile Performance:</w:t>
      </w:r>
    </w:p>
    <w:p>
      <w:pPr>
        <w:numPr>
          <w:ilvl w:val="0"/>
          <w:numId w:val="1000"/>
        </w:numPr>
        <w:pStyle w:val="Heading2"/>
      </w:pPr>
      <w:bookmarkStart w:id="26" w:name="conclusion"/>
      <w:r>
        <w:t xml:space="preserve">6. Conclusion</w:t>
      </w:r>
      <w:bookmarkEnd w:id="26"/>
    </w:p>
    <w:p>
      <w:pPr>
        <w:numPr>
          <w:ilvl w:val="0"/>
          <w:numId w:val="1000"/>
        </w:numPr>
      </w:pPr>
      <w:r>
        <w:t xml:space="preserve">This laboratory report underscores that designing for China Shanghai requires a distinct set of skills and strategic considerations beyond standard UX/UI best practices. The high information density, reliance on super-apps, and social-driven user behavior create a unique design landscape. Success in this market hinges on the ability to balance aesthetic appeal with functional richness and seamless integration into the dominant digital ecosystems.</w:t>
      </w:r>
    </w:p>
    <w:p>
      <w:pPr>
        <w:numPr>
          <w:ilvl w:val="0"/>
          <w:numId w:val="1000"/>
        </w:numPr>
      </w:pPr>
      <w:r>
        <w:t xml:space="preserve">For international teams entering Shanghai, it is imperative to collaborate closely with local UX/UI designers who possess deep cultural intuition. Ignoring these localized insights can lead to products that feel alienating or inefficient to the target audience. Conversely, embracing them can unlock significant growth and user loyalty in one of the world’s most dynamic digital markets.</w:t>
      </w:r>
    </w:p>
    <w:p>
      <w:pPr>
        <w:numPr>
          <w:ilvl w:val="0"/>
          <w:numId w:val="1000"/>
        </w:numPr>
        <w:pStyle w:val="Heading2"/>
      </w:pPr>
      <w:bookmarkStart w:id="27" w:name="recommendations-for-next-steps"/>
      <w:r>
        <w:t xml:space="preserve">7. Recommendations for Next Steps</w:t>
      </w:r>
      <w:bookmarkEnd w:id="27"/>
    </w:p>
    <w:p>
      <w:pPr>
        <w:numPr>
          <w:ilvl w:val="0"/>
          <w:numId w:val="1003"/>
        </w:numPr>
        <w:pStyle w:val="Compact"/>
      </w:pPr>
      <w:r>
        <w:rPr>
          <w:bCs/>
          <w:b/>
        </w:rPr>
        <w:t xml:space="preserve">Hire Local UX Researchers:</w:t>
      </w:r>
    </w:p>
    <w:p>
      <w:pPr>
        <w:pStyle w:val="FirstParagraph"/>
      </w:pPr>
      <w:r>
        <w:t xml:space="preserve">Conduct ethnographic studies in Shanghai to validate current design assumptions.</w:t>
      </w:r>
    </w:p>
    <w:p>
      <w:pPr>
        <w:pStyle w:val="BodyText"/>
      </w:pPr>
      <w:r>
        <w:rPr>
          <w:bCs/>
          <w:b/>
        </w:rPr>
        <w:t xml:space="preserve">Develop WeChat Mini-Program Strategies:</w:t>
      </w:r>
    </w:p>
    <w:p>
      <w:pPr>
        <w:pStyle w:val="BodyText"/>
      </w:pPr>
      <w:r>
        <w:rPr>
          <w:bCs/>
          <w:b/>
        </w:rPr>
        <w:t xml:space="preserve">A/B Test Information Density:</w:t>
      </w:r>
    </w:p>
    <w:p>
      <w:pPr>
        <w:pStyle w:val="BodyText"/>
      </w:pPr>
      <w:r>
        <w:t xml:space="preserve">Cultural Localization Review: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Ecosystem Analysis in China Shanghai</dc:title>
  <dc:creator/>
  <dc:language>en</dc:language>
  <cp:keywords/>
  <dcterms:created xsi:type="dcterms:W3CDTF">2026-07-29T14:02:47Z</dcterms:created>
  <dcterms:modified xsi:type="dcterms:W3CDTF">2026-07-29T14:02:47Z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