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0" w:name="lab-report"/>
    <w:p>
      <w:pPr>
        <w:pStyle w:val="Heading1"/>
      </w:pPr>
      <w:r>
        <w:rPr>
          <w:bCs/>
          <w:b/>
        </w:rPr>
        <w:t xml:space="preserve">Lab Report:</w:t>
      </w:r>
    </w:p>
    <w:p>
      <w:pPr>
        <w:pStyle w:val="FirstParagraph"/>
      </w:pPr>
      <w:r>
        <w:br/>
      </w:r>
      <w:r>
        <w:t xml:space="preserve">A Comprehensive Analysis of</w:t>
      </w:r>
      <w:r>
        <w:t xml:space="preserve"> </w:t>
      </w:r>
      <w:r>
        <w:rPr>
          <w:bCs/>
          <w:b/>
        </w:rPr>
        <w:t xml:space="preserve">UX UI Designer</w:t>
      </w:r>
      <w:r>
        <w:t xml:space="preserve"> </w:t>
      </w:r>
      <w:r>
        <w:t xml:space="preserve">Practices within the Technological Ecosystem of</w:t>
      </w:r>
    </w:p>
    <w:p>
      <w:pPr>
        <w:pStyle w:val="BodyText"/>
      </w:pPr>
      <w:r>
        <w:t xml:space="preserve">Germany Berlin</w:t>
      </w:r>
    </w:p>
    <w:bookmarkEnd w:id="20"/>
    <w:p>
      <w:pPr>
        <w:pStyle w:val="BodyText"/>
      </w:pPr>
      <w:r>
        <w:t xml:space="preserve">The following document details an observational study conducted in the bustling technology hub known as</w:t>
      </w:r>
      <w:r>
        <w:t xml:space="preserve"> </w:t>
      </w:r>
      <w:r>
        <w:rPr>
          <w:bCs/>
          <w:b/>
        </w:rPr>
        <w:t xml:space="preserve">Germany Berlin. The primary objective was to evaluate current methodologies employed by a professional</w:t>
      </w:r>
      <w:r>
        <w:rPr>
          <w:bCs/>
          <w:b/>
        </w:rPr>
        <w:t xml:space="preserve"> </w:t>
      </w:r>
      <w:r>
        <w:rPr>
          <w:iCs/>
          <w:i/>
          <w:u w:val="single"/>
          <w:bCs/>
          <w:b/>
          <w:bCs/>
          <w:b/>
        </w:rPr>
        <w:t xml:space="preserve">UX UI Designer</w:t>
      </w:r>
    </w:p>
    <w:bookmarkStart w:id="21" w:name="introduction"/>
    <w:p>
      <w:pPr>
        <w:pStyle w:val="Heading2"/>
      </w:pPr>
      <w:r>
        <w:t xml:space="preserve">1. Introduction</w:t>
      </w:r>
    </w:p>
    <w:p>
      <w:pPr>
        <w:pStyle w:val="FirstParagraph"/>
      </w:pPr>
      <w:r>
        <w:t xml:space="preserve">In the rapidly evolving landscape of digital interaction, the role of a</w:t>
      </w:r>
      <w:r>
        <w:t xml:space="preserve"> </w:t>
      </w:r>
      <w:r>
        <w:rPr>
          <w:u w:val="single"/>
          <w:iCs/>
          <w:i/>
          <w:bCs/>
          <w:b/>
        </w:rPr>
        <w:t xml:space="preserve">User Experience User Interface Designer</w:t>
      </w:r>
      <w:r>
        <w:t xml:space="preserve">Germany Berlin, this role is particularly significant due to the region's high density of tech startups and established enterprise firms alike. The city has emerged as a premier destination for innovation in Northern Europe.</w:t>
      </w:r>
    </w:p>
    <w:p>
      <w:pPr>
        <w:pStyle w:val="BodyText"/>
      </w:pPr>
      <w:r>
        <w:t xml:space="preserve">This lab report aims to dissect the workflow, challenges, and strategic approaches utilized by designers operating within</w:t>
      </w:r>
    </w:p>
    <w:p>
      <w:pPr>
        <w:pStyle w:val="BodyText"/>
      </w:pPr>
      <w:r>
        <w:t xml:space="preserve">Germany Berlin. By focusing on this specific geographic market, we can better understand how international best practices are adapted to fit local regulatory frameworks (such as GDPR) and cultural expectations regarding privacy and usability.</w:t>
      </w:r>
    </w:p>
    <w:bookmarkEnd w:id="21"/>
    <w:bookmarkStart w:id="22" w:name="methodology"/>
    <w:p>
      <w:pPr>
        <w:pStyle w:val="Heading2"/>
      </w:pPr>
      <w:r>
        <w:t xml:space="preserve">2. Methodology</w:t>
      </w:r>
    </w:p>
    <w:p>
      <w:pPr>
        <w:pStyle w:val="FirstParagraph"/>
      </w:pPr>
      <w:r>
        <w:t xml:space="preserve">To ensure a robust analysis, this study employed a mixed-methods approach involving:</w:t>
      </w:r>
    </w:p>
    <w:p>
      <w:pPr>
        <w:pStyle w:val="BodyText"/>
      </w:pPr>
      <w:r>
        <w:rPr>
          <w:bCs/>
          <w:b/>
        </w:rPr>
        <w:t xml:space="preserve">Auditory Observation:</w:t>
      </w:r>
      <w:r>
        <w:t xml:space="preserve">Germany Berlin.</w:t>
      </w:r>
    </w:p>
    <w:p>
      <w:pPr>
        <w:pStyle w:val="BodyText"/>
      </w:pPr>
      <w:r>
        <w:rPr>
          <w:iCs/>
          <w:i/>
        </w:rPr>
        <w:t xml:space="preserve">Artifact Analysis:</w:t>
      </w:r>
      <w:r>
        <w:t xml:space="preserve"> </w:t>
      </w:r>
      <w:r>
        <w:t xml:space="preserve">Reviewing wireframes, prototypes, and final UI assets created by a lead</w:t>
      </w:r>
      <w:r>
        <w:t xml:space="preserve"> </w:t>
      </w:r>
      <w:r>
        <w:rPr>
          <w:bCs/>
          <w:b/>
        </w:rPr>
        <w:t xml:space="preserve">User Experience User Interface Designer</w:t>
      </w:r>
      <w:r>
        <w:t xml:space="preserve">.</w:t>
      </w:r>
    </w:p>
    <w:p>
      <w:pPr>
        <w:pStyle w:val="BodyText"/>
      </w:pPr>
      <w:r>
        <w:t xml:space="preserve">Semi-structured Interviews:</w:t>
      </w:r>
    </w:p>
    <w:p>
      <w:pPr>
        <w:pStyle w:val="BodyText"/>
      </w:pPr>
      <w:r>
        <w:t xml:space="preserve">The primary subjects were three mid-to-senior level designers with an average of five years experience in the field. All participants confirmed their active employment within the</w:t>
      </w:r>
    </w:p>
    <w:p>
      <w:pPr>
        <w:pStyle w:val="BodyText"/>
      </w:pPr>
      <w:r>
        <w:t xml:space="preserve">Germany Berlin tech sector.</w:t>
      </w:r>
    </w:p>
    <w:bookmarkEnd w:id="22"/>
    <w:bookmarkStart w:id="26" w:name="findings-the-role-of-the-ux-ui-designer"/>
    <w:p>
      <w:pPr>
        <w:pStyle w:val="Heading2"/>
      </w:pPr>
      <w:r>
        <w:t xml:space="preserve">3. Findings: The Role of the UX UI Designer</w:t>
      </w:r>
    </w:p>
    <w:bookmarkStart w:id="23" w:name="Xfe168a0593483ba4513ea68252f76b7d416d439"/>
    <w:p>
      <w:pPr>
        <w:pStyle w:val="Heading3"/>
      </w:pPr>
      <w:r>
        <w:rPr>
          <w:iCs/>
          <w:i/>
        </w:rPr>
        <w:t xml:space="preserve">Aesthetic Precision and Minimalism</w:t>
      </w:r>
      <w:r>
        <w:t xml:space="preserve"> </w:t>
      </w:r>
      <w:r>
        <w:t xml:space="preserve">The data suggests that a dominant aesthetic preference in</w:t>
      </w:r>
      <w:r>
        <w:t xml:space="preserve"> </w:t>
      </w:r>
      <w:r>
        <w:rPr>
          <w:bCs/>
          <w:b/>
        </w:rPr>
        <w:t xml:space="preserve">Germany BerlinUser Experience User Interface Designer</w:t>
      </w:r>
    </w:p>
    <w:bookmarkEnd w:id="23"/>
    <w:bookmarkStart w:id="24" w:name="accessibility-as-a-core-requirement"/>
    <w:p>
      <w:pPr>
        <w:pStyle w:val="Heading3"/>
      </w:pPr>
      <w:r>
        <w:t xml:space="preserve">Accessibility as a Core Requirement</w:t>
      </w:r>
    </w:p>
    <w:p>
      <w:pPr>
        <w:pStyle w:val="FirstParagraph"/>
      </w:pPr>
      <w:r>
        <w:t xml:space="preserve">A significant finding was the emphasis on accessibility (a11y). In</w:t>
      </w:r>
    </w:p>
    <w:p>
      <w:pPr>
        <w:pStyle w:val="BodyText"/>
      </w:pPr>
      <w:r>
        <w:t xml:space="preserve">Germany Berlin, there is a strong legal and ethical push to ensure digital products are usable by people with disabilities. The</w:t>
      </w:r>
      <w:r>
        <w:t xml:space="preserve"> </w:t>
      </w:r>
      <w:r>
        <w:rPr>
          <w:bCs/>
          <w:b/>
        </w:rPr>
        <w:t xml:space="preserve">User Experience User Interface Designer</w:t>
      </w:r>
      <w:r>
        <w:t xml:space="preserve"> </w:t>
      </w:r>
      <w:r>
        <w:t xml:space="preserve">is not merely creating visuals but ensuring compliance with WCAG guidelines. This includes proper contrast ratios, screen reader compatibility, and keyboard navigability.</w:t>
      </w:r>
    </w:p>
    <w:bookmarkEnd w:id="24"/>
    <w:bookmarkStart w:id="25" w:name="data-driven-decision-making"/>
    <w:p>
      <w:pPr>
        <w:pStyle w:val="Heading3"/>
      </w:pPr>
      <w:r>
        <w:t xml:space="preserve">Data-Driven Decision Making</w:t>
      </w:r>
    </w:p>
    <w:p>
      <w:pPr>
        <w:pStyle w:val="FirstParagraph"/>
      </w:pPr>
      <w:r>
        <w:t xml:space="preserve">The interview responses revealed a heavy reliance on data analytics to inform design choices. Rather than relying solely on intuition, designers in this region use A/B testing and heatmaps extensively. This scientific approach to design reflects the analytical mindset prevalent in the</w:t>
      </w:r>
      <w:r>
        <w:t xml:space="preserve"> </w:t>
      </w:r>
      <w:r>
        <w:rPr>
          <w:bCs/>
          <w:b/>
        </w:rPr>
        <w:t xml:space="preserve">Germany Berlin</w:t>
      </w:r>
    </w:p>
    <w:bookmarkEnd w:id="25"/>
    <w:bookmarkEnd w:id="26"/>
    <w:bookmarkStart w:id="27" w:name="challenges-and-constraints"/>
    <w:p>
      <w:pPr>
        <w:pStyle w:val="Heading2"/>
      </w:pPr>
      <w:r>
        <w:t xml:space="preserve">4. Challenges and Constraints</w:t>
      </w:r>
    </w:p>
    <w:p>
      <w:pPr>
        <w:pStyle w:val="FirstParagraph"/>
      </w:pPr>
      <w:r>
        <w:t xml:space="preserve">The study identified several unique challenges faced by professionals in this sector:</w:t>
      </w:r>
    </w:p>
    <w:p>
      <w:pPr>
        <w:pStyle w:val="BodyText"/>
      </w:pPr>
      <w:r>
        <w:rPr>
          <w:iCs/>
          <w:i/>
        </w:rPr>
        <w:t xml:space="preserve">Data Privacy Regulations:</w:t>
      </w:r>
      <w:r>
        <w:t xml:space="preserve"> </w:t>
      </w:r>
      <w:r>
        <w:t xml:space="preserve">The stringent data protection laws in</w:t>
      </w:r>
      <w:r>
        <w:t xml:space="preserve"> </w:t>
      </w:r>
      <w:r>
        <w:rPr>
          <w:bCs/>
          <w:b/>
        </w:rPr>
        <w:t xml:space="preserve">Germany Berlin</w:t>
      </w:r>
    </w:p>
    <w:p>
      <w:pPr>
        <w:pStyle w:val="BodyText"/>
      </w:pPr>
      <w:r>
        <w:t xml:space="preserve">Cross-Functional Communication:</w:t>
      </w:r>
    </w:p>
    <w:p>
      <w:pPr>
        <w:pStyle w:val="BodyText"/>
      </w:pPr>
      <w:r>
        <w:t xml:space="preserve">The fast-paced startup culture in</w:t>
      </w:r>
      <w:r>
        <w:t xml:space="preserve"> </w:t>
      </w:r>
      <w:r>
        <w:rPr>
          <w:bCs/>
          <w:b/>
        </w:rPr>
        <w:t xml:space="preserve">Germany BerlinUser Experience User Interface Designer</w:t>
      </w:r>
      <w:r>
        <w:t xml:space="preserve">. Establishing clear communication protocols is therefore crucial.</w:t>
      </w:r>
    </w:p>
    <w:p>
      <w:pPr>
        <w:pStyle w:val="BodyText"/>
      </w:pPr>
      <w:r>
        <w:rPr>
          <w:iCs/>
          <w:i/>
        </w:rPr>
        <w:t xml:space="preserve">Talent Competition:</w:t>
      </w:r>
    </w:p>
    <w:p>
      <w:pPr>
        <w:pStyle w:val="BodyText"/>
      </w:pPr>
      <w:r>
        <w:t xml:space="preserve">With the high demand for skilled designers in</w:t>
      </w:r>
      <w:r>
        <w:t xml:space="preserve"> </w:t>
      </w:r>
      <w:r>
        <w:rPr>
          <w:bCs/>
          <w:b/>
        </w:rPr>
        <w:t xml:space="preserve">Germany Berlin</w:t>
      </w:r>
    </w:p>
    <w:bookmarkEnd w:id="27"/>
    <w:bookmarkStart w:id="28" w:name="X779395a548cc103b2af13ef0161b3bee1f30b5c"/>
    <w:p>
      <w:pPr>
        <w:pStyle w:val="Heading2"/>
      </w:pPr>
      <w:r>
        <w:t xml:space="preserve">5. Discussion: The Intersection of Culture and Design</w:t>
      </w:r>
    </w:p>
    <w:p>
      <w:pPr>
        <w:pStyle w:val="FirstParagraph"/>
      </w:pPr>
      <w:r>
        <w:t xml:space="preserve">The findings underscore the importance of cultural context in design. In</w:t>
      </w:r>
      <w:r>
        <w:t xml:space="preserve"> </w:t>
      </w:r>
      <w:r>
        <w:rPr>
          <w:bCs/>
          <w:b/>
        </w:rPr>
        <w:t xml:space="preserve">Germany BerlinUser Experience User Interface Designer</w:t>
      </w:r>
      <w:r>
        <w:t xml:space="preserve"> </w:t>
      </w:r>
      <w:r>
        <w:t xml:space="preserve">must navigate these expectations while pushing the boundaries of innovation.</w:t>
      </w:r>
    </w:p>
    <w:p>
      <w:pPr>
        <w:pStyle w:val="BodyText"/>
      </w:pPr>
      <w:r>
        <w:t xml:space="preserve">Furthermore, the multilingual nature of the city means that interfaces often need to accommodate multiple languages with varying text lengths. This requires flexible layout systems that can adapt dynamically, a key skill for any designer working in this region.</w:t>
      </w:r>
    </w:p>
    <w:bookmarkEnd w:id="28"/>
    <w:bookmarkStart w:id="29" w:name="conclusion"/>
    <w:p>
      <w:pPr>
        <w:pStyle w:val="Heading2"/>
      </w:pPr>
      <w:r>
        <w:t xml:space="preserve">6. Conclusion</w:t>
      </w:r>
    </w:p>
    <w:p>
      <w:pPr>
        <w:pStyle w:val="FirstParagraph"/>
      </w:pPr>
      <w:r>
        <w:t xml:space="preserve">This lab report confirms that the role of a</w:t>
      </w:r>
      <w:r>
        <w:t xml:space="preserve"> </w:t>
      </w:r>
      <w:r>
        <w:rPr>
          <w:bCs/>
          <w:b/>
        </w:rPr>
        <w:t xml:space="preserve">User Experience User Interface Designer</w:t>
      </w:r>
      <w:r>
        <w:t xml:space="preserve"> </w:t>
      </w:r>
      <w:r>
        <w:t xml:space="preserve">in</w:t>
      </w:r>
      <w:r>
        <w:t xml:space="preserve"> </w:t>
      </w:r>
      <w:r>
        <w:rPr>
          <w:bCs/>
          <w:b/>
        </w:rPr>
        <w:t xml:space="preserve">Germany Berlin</w:t>
      </w:r>
    </w:p>
    <w:p>
      <w:pPr>
        <w:pStyle w:val="BodyText"/>
      </w:pPr>
      <w:r>
        <w:t xml:space="preserve">The unique characteristics of the local market—driven by a culture that values precision, privacy, and accessibility—shape the way digital products are conceived and executed. For organizations looking to succeed in</w:t>
      </w:r>
    </w:p>
    <w:p>
      <w:pPr>
        <w:pStyle w:val="BodyText"/>
      </w:pPr>
      <w:r>
        <w:t xml:space="preserve">Germany Berlin, investing in skilled UX/UI talent who understand these nuances is not just an option but a necessity.</w:t>
      </w:r>
    </w:p>
    <w:p>
      <w:pPr>
        <w:pStyle w:val="BodyText"/>
      </w:pPr>
      <w:r>
        <w:t xml:space="preserve">Future research should focus on longitudinal studies tracking the impact of emerging technologies like AI on design workflows within this specific geographic context.</w:t>
      </w:r>
    </w:p>
    <w:bookmarkEnd w:id="29"/>
    <w:p>
      <w:pPr>
        <w:pStyle w:val="BodyText"/>
      </w:pPr>
      <w:r>
        <w:t xml:space="preserve">References</w:t>
      </w:r>
    </w:p>
    <w:p>
      <w:pPr>
        <w:numPr>
          <w:ilvl w:val="0"/>
          <w:numId w:val="1001"/>
        </w:numPr>
        <w:pStyle w:val="Compact"/>
      </w:pPr>
      <w:r>
        <w:t xml:space="preserve">Berlin University of Technology. (2023).</w:t>
      </w:r>
    </w:p>
    <w:p>
      <w:pPr>
        <w:numPr>
          <w:ilvl w:val="0"/>
          <w:numId w:val="1000"/>
        </w:numPr>
        <w:pStyle w:val="Compact"/>
      </w:pPr>
      <w:r>
        <w:t xml:space="preserve">Digital Design Trends in Northern Europe.</w:t>
      </w:r>
    </w:p>
    <w:p>
      <w:pPr>
        <w:numPr>
          <w:ilvl w:val="0"/>
          <w:numId w:val="1001"/>
        </w:numPr>
        <w:pStyle w:val="Compact"/>
      </w:pPr>
      <w:r>
        <w:t xml:space="preserve">European Commission. (2023).</w:t>
      </w:r>
    </w:p>
    <w:p>
      <w:pPr>
        <w:numPr>
          <w:ilvl w:val="0"/>
          <w:numId w:val="1000"/>
        </w:numPr>
        <w:pStyle w:val="Compact"/>
      </w:pPr>
      <w:r>
        <w:t xml:space="preserve">User Experience Guidelines for Digital Services.</w:t>
      </w:r>
    </w:p>
    <w:p>
      <w:pPr>
        <w:pStyle w:val="FirstParagraph"/>
      </w:pPr>
      <w:r>
        <w:t xml:space="preserve">Disclaimer: This report is a simulated document generated for educational and illustrative purposes. All data points are generalized observations based on common industry practices in the specified region and do not represent proprietary information from any specific entity.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Germany Berlin</dc:title>
  <dc:creator/>
  <dc:language>en</dc:language>
  <cp:keywords/>
  <dcterms:created xsi:type="dcterms:W3CDTF">2026-07-29T09:32:57Z</dcterms:created>
  <dcterms:modified xsi:type="dcterms:W3CDTF">2026-07-29T09:32:57Z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