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Indonesia</w:t>
      </w:r>
      <w:r>
        <w:t xml:space="preserve"> </w:t>
      </w:r>
      <w:r>
        <w:t xml:space="preserve">Jakarta</w:t>
      </w:r>
      <w:r>
        <w:t xml:space="preserve"> </w:t>
      </w:r>
      <w:r>
        <w:t xml:space="preserve">Market</w:t>
      </w:r>
    </w:p>
    <w:bookmarkStart w:id="20" w:name="lab-report"/>
    <w:p>
      <w:pPr>
        <w:pStyle w:val="Heading1"/>
      </w:pPr>
      <w:r>
        <w:rPr>
          <w:bCs/>
          <w:b/>
        </w:rPr>
        <w:t xml:space="preserve">LAB REPORT</w:t>
      </w:r>
    </w:p>
    <w:p>
      <w:pPr>
        <w:pStyle w:val="FirstParagraph"/>
      </w:pPr>
      <w:r>
        <w:rPr>
          <w:bCs/>
          <w:b/>
        </w:rPr>
        <w:t xml:space="preserve">Title:</w:t>
      </w:r>
      <w:r>
        <w:t xml:space="preserve"> </w:t>
      </w:r>
      <w:r>
        <w:t xml:space="preserve">Strategic UX/UI Design Implementation for the Digital Ecosystem of Indonesia Jakarta</w:t>
      </w:r>
    </w:p>
    <w:p>
      <w:pPr>
        <w:pStyle w:val="BodyText"/>
      </w:pPr>
      <w:r>
        <w:rPr>
          <w:bCs/>
          <w:b/>
        </w:rPr>
        <w:t xml:space="preserve">Date:</w:t>
      </w:r>
      <w:r>
        <w:t xml:space="preserve"> October 26, 2023</w:t>
      </w:r>
    </w:p>
    <w:p>
      <w:pPr>
        <w:pStyle w:val="BodyText"/>
      </w:pPr>
      <w:r>
        <w:rPr>
          <w:bCs/>
          <w:b/>
        </w:rPr>
        <w:t xml:space="preserve">Drafted By:</w:t>
      </w:r>
      <w:r>
        <w:t xml:space="preserve"> Senior UX Research Unit</w:t>
      </w:r>
    </w:p>
    <w:p>
      <w:pPr>
        <w:pStyle w:val="BodyText"/>
      </w:pPr>
      <w:r>
        <w:rPr>
          <w:bCs/>
          <w:b/>
        </w:rPr>
        <w:t xml:space="preserve">Subject Focus: </w:t>
      </w:r>
      <w:r>
        <w:t xml:space="preserve">**UX UI Designer** Performance Analysis in **Indonesia Jakarta** </w:t>
      </w:r>
    </w:p>
    <w:bookmarkEnd w:id="20"/>
    <w:bookmarkStart w:id="21" w:name="executive-summary"/>
    <w:p>
      <w:pPr>
        <w:pStyle w:val="Heading2"/>
      </w:pPr>
      <w:r>
        <w:rPr>
          <w:bCs/>
          <w:b/>
        </w:rPr>
        <w:t xml:space="preserve">1. Executive Summary</w:t>
      </w:r>
    </w:p>
    <w:p>
      <w:pPr>
        <w:pStyle w:val="FirstParagraph"/>
      </w:pPr>
      <w:r>
        <w:t xml:space="preserve"> </w:t>
      </w:r>
    </w:p>
    <w:p>
      <w:pPr>
        <w:pStyle w:val="BodyText"/>
      </w:pPr>
      <w:r>
        <w:t xml:space="preserve">This</w:t>
      </w:r>
    </w:p>
    <w:p>
      <w:pPr>
        <w:pStyle w:val="BodyText"/>
      </w:pPr>
      <w:r>
        <w:rPr>
          <w:iCs/>
          <w:i/>
        </w:rPr>
        <w:t xml:space="preserve">Lab Report</w:t>
      </w:r>
      <w:r>
        <w:t xml:space="preserve"> provides a comprehensive analysis of the User Experience (UX) and User Interface (UI) design standards required for successful digital product deployment in **Indonesia Jakarta**. As the capital city and economic hub of Indonesia, Jakarta presents a unique set of technological challenges and opportunities. This document details how a specialized</w:t>
      </w:r>
      <w:r>
        <w:t xml:space="preserve"> </w:t>
      </w:r>
      <w:r>
        <w:rPr>
          <w:bCs/>
          <w:b/>
        </w:rPr>
        <w:t xml:space="preserve">UX UI Designer</w:t>
      </w:r>
      <w:r>
        <w:t xml:space="preserve"> </w:t>
      </w:r>
      <w:r>
        <w:t xml:space="preserve">must adapt traditional Western-centric design paradigms to align with the distinct cultural, infrastructural, and behavioral nuances of Indonesian users. The objective is to establish best practices that enhance user retention, accessibility, and overall satisfaction within the Jakarta metropolitan market.</w:t>
      </w:r>
    </w:p>
    <w:p>
      <w:pPr>
        <w:pStyle w:val="BodyText"/>
      </w:pPr>
      <w:r>
        <w:t xml:space="preserve"> </w:t>
      </w:r>
    </w:p>
    <w:bookmarkEnd w:id="21"/>
    <w:bookmarkStart w:id="25" w:name="Xfd8c12f0205a26a9616deadf48156985d9e558b"/>
    <w:bookmarkStart w:id="24" w:name="X8306cafa4ef5d72000118f05c9a17c6bed0316e"/>
    <w:p>
      <w:pPr>
        <w:pStyle w:val="Heading2"/>
      </w:pPr>
      <w:r>
        <w:rPr>
          <w:bCs/>
          <w:b/>
        </w:rPr>
        <w:t xml:space="preserve">2. Contextual Analysis: The Jakarta Digital Landscape</w:t>
      </w:r>
    </w:p>
    <w:p>
      <w:pPr>
        <w:pStyle w:val="FirstParagraph"/>
      </w:pPr>
      <w:r>
        <w:t xml:space="preserve"> </w:t>
      </w:r>
    </w:p>
    <w:p>
      <w:pPr>
        <w:pStyle w:val="BodyText"/>
      </w:pPr>
      <w:r>
        <w:t xml:space="preserve">To design effectively in</w:t>
      </w:r>
    </w:p>
    <w:p>
      <w:pPr>
        <w:pStyle w:val="BodyText"/>
      </w:pPr>
      <w:r>
        <w:rPr>
          <w:iCs/>
          <w:i/>
        </w:rPr>
        <w:t xml:space="preserve">**Indonesia Jakarta**</w:t>
      </w:r>
      <w:r>
        <w:t xml:space="preserve">, one must first understand the local environment. Jakarta is a megacity with over 10 million residents and a rapidly growing middle class. The digital adoption rate in this region has skyrocketed, driven largely by mobile-first usage patterns.</w:t>
      </w:r>
    </w:p>
    <w:bookmarkStart w:id="22" w:name="infrastructure-and-hardware-constraints"/>
    <w:p>
      <w:pPr>
        <w:pStyle w:val="Heading3"/>
      </w:pPr>
      <w:r>
        <w:t xml:space="preserve">2.1 Infrastructure and Hardware Constraints</w:t>
      </w:r>
    </w:p>
    <w:p>
      <w:pPr>
        <w:pStyle w:val="FirstParagraph"/>
      </w:pPr>
      <w:r>
        <w:t xml:space="preserve"> </w:t>
      </w:r>
    </w:p>
    <w:p>
      <w:pPr>
        <w:pStyle w:val="BodyText"/>
      </w:pPr>
      <w:r>
        <w:t xml:space="preserve">A critical factor influencing the work of any</w:t>
      </w:r>
      <w:r>
        <w:t xml:space="preserve"> </w:t>
      </w:r>
      <w:r>
        <w:rPr>
          <w:bCs/>
          <w:b/>
        </w:rPr>
        <w:t xml:space="preserve">UX UI Designer</w:t>
      </w:r>
      <w:r>
        <w:t xml:space="preserve"> </w:t>
      </w:r>
      <w:r>
        <w:t xml:space="preserve">operating in **Indonesia Jakarta** is the variability of internet connectivity. While fiber optic infrastructure is expanding in premium districts like Sudirman and Kuningan, a significant portion of users rely on mobile data (4G/5G) which may be unstable or costly outside city centers. Therefore, designs must prioritize lightweight assets, optimized image loading protocols and minimalistic code structures to ensure rapid load times even on slower networks.</w:t>
      </w:r>
    </w:p>
    <w:bookmarkEnd w:id="22"/>
    <w:bookmarkStart w:id="23" w:name="X8c579b581c2c8f6e818f43278f8105b11fd9667"/>
    <w:p>
      <w:pPr>
        <w:pStyle w:val="Heading3"/>
      </w:pPr>
      <w:r>
        <w:t xml:space="preserve">2.2 Cultural Nuances and Communication Styles</w:t>
      </w:r>
    </w:p>
    <w:p>
      <w:pPr>
        <w:pStyle w:val="FirstParagraph"/>
      </w:pPr>
      <w:r>
        <w:t xml:space="preserve"> </w:t>
      </w:r>
    </w:p>
    <w:p>
      <w:pPr>
        <w:pStyle w:val="BodyText"/>
      </w:pPr>
      <w:r>
        <w:t xml:space="preserve">The design ethos in Jakarta is heavily influenced by the local culture of ‘Gotong Royong’ (mutual assistance) and high-context communication. Users in **Indonesia Jakarta** often respond better to interfaces that feel personal, community-oriented, and visually warm compared to the stark minimalism preferred in European markets. The role of the</w:t>
      </w:r>
      <w:r>
        <w:t xml:space="preserve"> </w:t>
      </w:r>
      <w:r>
        <w:rPr>
          <w:bCs/>
          <w:b/>
        </w:rPr>
        <w:t xml:space="preserve">UX UI Designer</w:t>
      </w:r>
      <w:r>
        <w:t xml:space="preserve"> </w:t>
      </w:r>
      <w:r>
        <w:t xml:space="preserve">here involves creating emotional connections through color psychology, imagery representation and culturally relevant iconography.</w:t>
      </w:r>
    </w:p>
    <w:bookmarkEnd w:id="23"/>
    <w:bookmarkEnd w:id="24"/>
    <w:bookmarkEnd w:id="25"/>
    <w:p>
      <w:pPr>
        <w:pStyle w:val="BodyText"/>
      </w:pPr>
      <w:r>
        <w:t xml:space="preserve"> </w:t>
      </w:r>
    </w:p>
    <w:bookmarkStart w:id="29" w:name="Xf6f63e96a8ba465779ca62d0a6fddf5cd95f44a"/>
    <w:bookmarkStart w:id="28" w:name="ux-methodology-and-user-research"/>
    <w:p>
      <w:pPr>
        <w:pStyle w:val="Heading2"/>
      </w:pPr>
      <w:r>
        <w:rPr>
          <w:bCs/>
          <w:b/>
        </w:rPr>
        <w:t xml:space="preserve">3. UX Methodology and User Research</w:t>
      </w:r>
    </w:p>
    <w:p>
      <w:pPr>
        <w:pStyle w:val="FirstParagraph"/>
      </w:pPr>
      <w:r>
        <w:t xml:space="preserve"> </w:t>
      </w:r>
    </w:p>
    <w:p>
      <w:pPr>
        <w:pStyle w:val="BodyText"/>
      </w:pPr>
      <w:r>
        <w:t xml:space="preserve">The core of this</w:t>
      </w:r>
    </w:p>
    <w:p>
      <w:pPr>
        <w:pStyle w:val="BodyText"/>
      </w:pPr>
      <w:r>
        <w:rPr>
          <w:iCs/>
          <w:i/>
        </w:rPr>
        <w:t xml:space="preserve">**Lab Report**</w:t>
      </w:r>
      <w:r>
        <w:t xml:space="preserve"> focuses on the research phase conducted specifically for users in **Indonesia Jakarta**. Standard global metrics often fail to capture local behavioral triggers.</w:t>
      </w:r>
    </w:p>
    <w:bookmarkStart w:id="26" w:name="user-persona-development"/>
    <w:p>
      <w:pPr>
        <w:pStyle w:val="Heading3"/>
      </w:pPr>
      <w:r>
        <w:t xml:space="preserve">3.1 User Persona Development</w:t>
      </w:r>
    </w:p>
    <w:p>
      <w:pPr>
        <w:pStyle w:val="FirstParagraph"/>
      </w:pPr>
      <w:r>
        <w:t xml:space="preserve"> </w:t>
      </w:r>
    </w:p>
    <w:p>
      <w:pPr>
        <w:pStyle w:val="BodyText"/>
      </w:pPr>
      <w:r>
        <w:t xml:space="preserve">We developed three primary personas based on field interviews in Jakarta:</w:t>
      </w:r>
    </w:p>
    <w:p>
      <w:pPr>
        <w:pStyle w:val="BodyText"/>
      </w:pPr>
      <w:r>
        <w:t xml:space="preserve"> </w:t>
      </w:r>
    </w:p>
    <w:p>
      <w:pPr>
        <w:numPr>
          <w:ilvl w:val="0"/>
          <w:numId w:val="1001"/>
        </w:numPr>
        <w:pStyle w:val="Compact"/>
      </w:pPr>
      <w:r>
        <w:rPr>
          <w:bCs/>
          <w:b/>
        </w:rPr>
        <w:t xml:space="preserve">The Commuter (Sudirman Central Business District): </w:t>
      </w:r>
      <w:r>
        <w:t xml:space="preserve"> High-income, tech-savvy but time-poor. Needs quick transactions and efficient navigation.</w:t>
      </w:r>
    </w:p>
    <w:p>
      <w:pPr>
        <w:numPr>
          <w:ilvl w:val="0"/>
          <w:numId w:val="1001"/>
        </w:numPr>
        <w:pStyle w:val="Compact"/>
      </w:pPr>
      <w:r>
        <w:rPr>
          <w:bCs/>
          <w:b/>
        </w:rPr>
        <w:t xml:space="preserve">The Student (Depok/Bekasi Periphery): </w:t>
      </w:r>
    </w:p>
    <w:p>
      <w:pPr>
        <w:numPr>
          <w:ilvl w:val="0"/>
          <w:numId w:val="1001"/>
        </w:numPr>
        <w:pStyle w:val="Compact"/>
      </w:pPr>
      <w:r>
        <w:rPr>
          <w:bCs/>
          <w:b/>
        </w:rPr>
        <w:t xml:space="preserve">The SME Owner (Tanah Abang): </w:t>
      </w:r>
      <w:r>
        <w:t xml:space="preserve"> Digitally transitioning business owner. Needs clarity, large text inputs and straightforward feedback loops.</w:t>
      </w:r>
    </w:p>
    <w:bookmarkEnd w:id="26"/>
    <w:bookmarkStart w:id="27" w:name="accessibility-standards"/>
    <w:p>
      <w:pPr>
        <w:pStyle w:val="Heading3"/>
      </w:pPr>
      <w:r>
        <w:t xml:space="preserve">3.2 Accessibility Standards</w:t>
      </w:r>
    </w:p>
    <w:p>
      <w:pPr>
        <w:pStyle w:val="FirstParagraph"/>
      </w:pPr>
      <w:r>
        <w:t xml:space="preserve"> </w:t>
      </w:r>
    </w:p>
    <w:p>
      <w:pPr>
        <w:pStyle w:val="BodyText"/>
      </w:pPr>
      <w:r>
        <w:t xml:space="preserve">In the context of **Indonesia Jakarta**, </w:t>
      </w:r>
      <w:r>
        <w:rPr>
          <w:bCs/>
          <w:b/>
        </w:rPr>
        <w:t xml:space="preserve">UX UI Designer</w:t>
      </w:r>
      <w:r>
        <w:t xml:space="preserve"> s must adhere to WCAG 2.1 guidelines while considering local accessibility needs. This includes supporting high-contrast modes due to bright sunlight exposure in outdoor digital interactions and ensuring touch targets are sufficiently large for users who may be using devices in motion (e.g, on the TransJakarta busway).</w:t>
      </w:r>
    </w:p>
    <w:bookmarkEnd w:id="27"/>
    <w:bookmarkEnd w:id="28"/>
    <w:bookmarkEnd w:id="29"/>
    <w:p>
      <w:pPr>
        <w:pStyle w:val="BodyText"/>
      </w:pPr>
      <w:r>
        <w:t xml:space="preserve"> </w:t>
      </w:r>
    </w:p>
    <w:bookmarkStart w:id="33" w:name="ui-strategies"/>
    <w:bookmarkStart w:id="32" w:name="ui-strategy-and-visual-design-principles"/>
    <w:p>
      <w:pPr>
        <w:pStyle w:val="Heading2"/>
      </w:pPr>
      <w:r>
        <w:rPr>
          <w:bCs/>
          <w:b/>
        </w:rPr>
        <w:t xml:space="preserve">4. UI Strategy and Visual Design Principles</w:t>
      </w:r>
    </w:p>
    <w:p>
      <w:pPr>
        <w:pStyle w:val="FirstParagraph"/>
      </w:pPr>
      <w:r>
        <w:t xml:space="preserve"> </w:t>
      </w:r>
    </w:p>
    <w:p>
      <w:pPr>
        <w:pStyle w:val="BodyText"/>
      </w:pPr>
      <w:r>
        <w:t xml:space="preserve">The visual language for digital products targeting **Indonesia Jakarta** must balance modernity with local aesthetic preferences.</w:t>
      </w:r>
    </w:p>
    <w:bookmarkStart w:id="30" w:name="color-psychology-in-indonesian-culture"/>
    <w:p>
      <w:pPr>
        <w:pStyle w:val="Heading3"/>
      </w:pPr>
      <w:r>
        <w:t xml:space="preserve">4.1 Color Psychology in Indonesian Culture</w:t>
      </w:r>
    </w:p>
    <w:p>
      <w:pPr>
        <w:pStyle w:val="FirstParagraph"/>
      </w:pPr>
      <w:r>
        <w:t xml:space="preserve"> </w:t>
      </w:r>
    </w:p>
    <w:p>
      <w:pPr>
        <w:pStyle w:val="BodyText"/>
      </w:pPr>
      <w:r>
        <w:t xml:space="preserve">COLOR plays a pivotal role in the deliverables of a</w:t>
      </w:r>
      <w:r>
        <w:t xml:space="preserve"> </w:t>
      </w:r>
      <w:r>
        <w:rPr>
          <w:bCs/>
          <w:b/>
        </w:rPr>
        <w:t xml:space="preserve">UX UI Designer</w:t>
      </w:r>
      <w:r>
        <w:t xml:space="preserve">. In Indonesia, colors carry specific connotations:</w:t>
      </w:r>
    </w:p>
    <w:p>
      <w:pPr>
        <w:pStyle w:val="BodyText"/>
      </w:pPr>
      <w:r>
        <w:t xml:space="preserve"> </w:t>
      </w:r>
    </w:p>
    <w:p>
      <w:pPr>
        <w:numPr>
          <w:ilvl w:val="0"/>
          <w:numId w:val="1002"/>
        </w:numPr>
        <w:pStyle w:val="Compact"/>
      </w:pPr>
      <w:r>
        <w:rPr>
          <w:bCs/>
          <w:b/>
        </w:rPr>
        <w:t xml:space="preserve">Vermilion and Gold: </w:t>
      </w:r>
      <w:r>
        <w:t xml:space="preserve">, often associated with royalty and auspiciousness. Effective for fintech and e-commerce success states.</w:t>
      </w:r>
    </w:p>
    <w:p>
      <w:pPr>
        <w:numPr>
          <w:ilvl w:val="0"/>
          <w:numId w:val="1002"/>
        </w:numPr>
        <w:pStyle w:val="Compact"/>
      </w:pPr>
      <w:r>
        <w:t xml:space="preserve">Green: </w:t>
      </w:r>
    </w:p>
    <w:p>
      <w:pPr>
        <w:pStyle w:val="FirstParagraph"/>
      </w:pPr>
      <w:r>
        <w:t xml:space="preserve"> </w:t>
      </w:r>
    </w:p>
    <w:p>
      <w:pPr>
        <w:pStyle w:val="BodyText"/>
      </w:pPr>
      <w:r>
        <w:t xml:space="preserve">Avoid excessive white space in certain contexts. In **Indonesia Jakarta**, a moderately cluttered interface can sometimes signal ‘value for money’ and abundance to users accustomed to traditional market environments (Pasar).</w:t>
      </w:r>
    </w:p>
    <w:bookmarkEnd w:id="30"/>
    <w:bookmarkStart w:id="31" w:name="typography-and-language-localization"/>
    <w:p>
      <w:pPr>
        <w:pStyle w:val="Heading3"/>
      </w:pPr>
      <w:r>
        <w:t xml:space="preserve">4.2 Typography and Language Localization</w:t>
      </w:r>
    </w:p>
    <w:p>
      <w:pPr>
        <w:pStyle w:val="FirstParagraph"/>
      </w:pPr>
      <w:r>
        <w:t xml:space="preserve"> </w:t>
      </w:r>
    </w:p>
    <w:p>
      <w:pPr>
        <w:pStyle w:val="BodyText"/>
      </w:pPr>
      <w:r>
        <w:t xml:space="preserve">Mechanical translation is insufficient. A proficient</w:t>
      </w:r>
      <w:r>
        <w:t xml:space="preserve"> </w:t>
      </w:r>
      <w:r>
        <w:rPr>
          <w:bCs/>
          <w:b/>
        </w:rPr>
        <w:t xml:space="preserve">UX UI Designer</w:t>
      </w:r>
      <w:r>
        <w:t xml:space="preserve"> must work with linguists to localize content into formal Bahasa Indonesia for professional sectors, while allowing for ‘Bahasa Gaul’ (slang) in youth-oriented or social media applications. Font sizes should be generally larger than Western defaults due to the tendency for longer Indonesian words.</w:t>
      </w:r>
    </w:p>
    <w:bookmarkEnd w:id="31"/>
    <w:bookmarkEnd w:id="32"/>
    <w:bookmarkEnd w:id="33"/>
    <w:p>
      <w:pPr>
        <w:pStyle w:val="BodyText"/>
      </w:pPr>
      <w:r>
        <w:t xml:space="preserve"> </w:t>
      </w:r>
    </w:p>
    <w:bookmarkStart w:id="37" w:name="Xa85fa7b0ebf104938375d994bf4d1f03ee06a6a"/>
    <w:bookmarkStart w:id="36" w:name="usability-testing-and-validation"/>
    <w:p>
      <w:pPr>
        <w:pStyle w:val="Heading2"/>
      </w:pPr>
      <w:r>
        <w:rPr>
          <w:bCs/>
          <w:b/>
        </w:rPr>
        <w:t xml:space="preserve">5. Usability Testing and Validation</w:t>
      </w:r>
    </w:p>
    <w:p>
      <w:pPr>
        <w:pStyle w:val="FirstParagraph"/>
      </w:pPr>
      <w:r>
        <w:t xml:space="preserve"> </w:t>
      </w:r>
    </w:p>
    <w:p>
      <w:pPr>
        <w:pStyle w:val="BodyText"/>
      </w:pPr>
      <w:r>
        <w:t xml:space="preserve">This section outlines the testing protocols established in this</w:t>
      </w:r>
    </w:p>
    <w:p>
      <w:pPr>
        <w:pStyle w:val="BodyText"/>
      </w:pPr>
      <w:r>
        <w:rPr>
          <w:iCs/>
          <w:i/>
        </w:rPr>
        <w:t xml:space="preserve">**Lab Report**</w:t>
      </w:r>
      <w:r>
        <w:t xml:space="preserve"> to validate design hypotheses in **Indonesia Jakarta**.</w:t>
      </w:r>
    </w:p>
    <w:bookmarkStart w:id="34" w:name="methodology"/>
    <w:p>
      <w:pPr>
        <w:pStyle w:val="Heading3"/>
      </w:pPr>
      <w:r>
        <w:t xml:space="preserve">5.1 Methodology</w:t>
      </w:r>
    </w:p>
    <w:p>
      <w:pPr>
        <w:pStyle w:val="FirstParagraph"/>
      </w:pPr>
      <w:r>
        <w:t xml:space="preserve"> </w:t>
      </w:r>
    </w:p>
    <w:p>
      <w:pPr>
        <w:pStyle w:val="BodyText"/>
      </w:pPr>
      <w:r>
        <w:t xml:space="preserve">We conducted moderated remote usability tests and on-site intercept interviews across key areas of Jakarta including Central, South, and West Jakarta. Participants were asked to complete specific tasks such as processing a payment via GoPay or OVO (dominant local wallets) and navigating a service booking flow.</w:t>
      </w:r>
    </w:p>
    <w:bookmarkEnd w:id="34"/>
    <w:bookmarkStart w:id="35" w:name="key-findings"/>
    <w:p>
      <w:pPr>
        <w:pStyle w:val="Heading3"/>
      </w:pPr>
      <w:r>
        <w:t xml:space="preserve">5.2 Key Findings</w:t>
      </w:r>
    </w:p>
    <w:p>
      <w:pPr>
        <w:pStyle w:val="FirstParagraph"/>
      </w:pPr>
      <w:r>
        <w:t xml:space="preserve"> </w:t>
      </w:r>
    </w:p>
    <w:p>
      <w:pPr>
        <w:pStyle w:val="BodyText"/>
      </w:pPr>
      <w:r>
        <w:t xml:space="preserve">Design Element</w:t>
      </w:r>
    </w:p>
    <w:bookmarkEnd w:id="35"/>
    <w:bookmarkEnd w:id="36"/>
    <w:bookmarkEnd w:id="37"/>
    <w:p>
      <w:pPr>
        <w:pStyle w:val="BodyText"/>
      </w:pPr>
      <w:r>
        <w:t xml:space="preserve">Observation in **Indonesia Jakarta**</w:t>
      </w:r>
    </w:p>
    <w:p>
      <w:pPr>
        <w:pStyle w:val="BodyText"/>
      </w:pPr>
      <w:r>
        <w:t xml:space="preserve"> </w:t>
      </w:r>
    </w:p>
    <w:p>
      <w:pPr>
        <w:pStyle w:val="BodyText"/>
      </w:pPr>
      <w:r>
        <w:t xml:space="preserve"> &lt;td&gt;UX UI Designer Impact&lt;/td&gt;</w:t>
      </w:r>
    </w:p>
    <w:p>
      <w:pPr>
        <w:pStyle w:val="BodyText"/>
      </w:pPr>
      <w:r>
        <w:t xml:space="preserve">Social Login Integration</w:t>
      </w:r>
    </w:p>
    <w:p>
      <w:pPr>
        <w:pStyle w:val="BodyText"/>
      </w:pPr>
      <w:r>
        <w:t xml:space="preserve">User Preference for Phone Number Verification  (WhatsApp/SMS) over Email.</w:t>
      </w:r>
    </w:p>
    <w:p>
      <w:pPr>
        <w:pStyle w:val="BodyText"/>
      </w:pPr>
      <w:r>
        <w:rPr>
          <w:iCs/>
          <w:i/>
        </w:rPr>
        <w:t xml:space="preserve">Action:</w:t>
      </w:r>
      <w:r>
        <w:t xml:space="preserve"> Prioritize phone verification flows. Email is secondary.Trust Signals&lt;/td&gt; </w:t>
      </w:r>
      <w:r>
        <w:rPr>
          <w:iCs/>
          <w:i/>
        </w:rPr>
        <w:t xml:space="preserve">**Lab Report**</w:t>
      </w:r>
      <w:r>
        <w:br/>
      </w:r>
      <w:r>
        <w:t xml:space="preserve"> </w:t>
      </w:r>
    </w:p>
    <w:p>
      <w:pPr>
        <w:numPr>
          <w:ilvl w:val="0"/>
          <w:numId w:val="1003"/>
        </w:numPr>
        <w:pStyle w:val="Compact"/>
      </w:pPr>
      <w:r>
        <w:t xml:space="preserve">Local Payment Methods (Bank Transfer, E-Wallets) are mandatory. Credit card integration alone results in high drop-off rates.</w:t>
      </w:r>
    </w:p>
    <w:p>
      <w:pPr>
        <w:pStyle w:val="FirstParagraph"/>
      </w:pPr>
      <w:r>
        <w:t xml:space="preserve"> </w:t>
      </w:r>
    </w:p>
    <w:bookmarkStart w:id="39" w:name="X6b297cc947e0db5526be369b1f0f4ddc67b2415"/>
    <w:bookmarkStart w:id="38" w:name="conclusion-and-recommendations"/>
    <w:p>
      <w:pPr>
        <w:pStyle w:val="Heading2"/>
      </w:pPr>
      <w:r>
        <w:rPr>
          <w:bCs/>
          <w:b/>
        </w:rPr>
        <w:t xml:space="preserve">6. Conclusion and Recommendations</w:t>
      </w:r>
    </w:p>
    <w:p>
      <w:pPr>
        <w:pStyle w:val="FirstParagraph"/>
      </w:pPr>
      <w:r>
        <w:t xml:space="preserve"> </w:t>
      </w:r>
    </w:p>
    <w:p>
      <w:pPr>
        <w:pStyle w:val="BodyText"/>
      </w:pPr>
      <w:r>
        <w:t xml:space="preserve">The findings presented in this</w:t>
      </w:r>
    </w:p>
    <w:p>
      <w:pPr>
        <w:pStyle w:val="BodyText"/>
      </w:pPr>
      <w:r>
        <w:rPr>
          <w:iCs/>
          <w:i/>
        </w:rPr>
        <w:t xml:space="preserve">**Lab Report**</w:t>
      </w:r>
      <w:r>
        <w:t xml:space="preserve"> confirm that a generic global design strategy is insufficient for the **Indonesia Jakarta** market. Success requires a tailored approach where the</w:t>
      </w:r>
      <w:r>
        <w:t xml:space="preserve"> </w:t>
      </w:r>
      <w:r>
        <w:rPr>
          <w:bCs/>
          <w:b/>
        </w:rPr>
        <w:t xml:space="preserve">UX UI Designer</w:t>
      </w:r>
      <w:r>
        <w:t xml:space="preserve"> </w:t>
      </w:r>
      <w:r>
        <w:t xml:space="preserve">acts not just as a visual architect, but as a cultural mediator.</w:t>
      </w:r>
    </w:p>
    <w:p>
      <w:pPr>
        <w:pStyle w:val="BodyText"/>
      </w:pPr>
      <w:r>
        <w:t xml:space="preserve"> </w:t>
      </w:r>
    </w:p>
    <w:p>
      <w:pPr>
        <w:pStyle w:val="BodyText"/>
      </w:pPr>
      <w:r>
        <w:t xml:space="preserve">To ensure optimal performance in Jakarta, we recommend the following:</w:t>
      </w:r>
    </w:p>
    <w:p>
      <w:pPr>
        <w:pStyle w:val="BodyText"/>
      </w:pPr>
      <w:r>
        <w:t xml:space="preserve"> </w:t>
      </w:r>
    </w:p>
    <w:p>
      <w:pPr>
        <w:numPr>
          <w:ilvl w:val="0"/>
          <w:numId w:val="1004"/>
        </w:numPr>
        <w:pStyle w:val="Compact"/>
      </w:pPr>
      <w:r>
        <w:rPr>
          <w:bCs/>
          <w:b/>
        </w:rPr>
        <w:t xml:space="preserve">Mobilize for Speed: </w:t>
      </w:r>
    </w:p>
    <w:p>
      <w:pPr>
        <w:numPr>
          <w:ilvl w:val="0"/>
          <w:numId w:val="1004"/>
        </w:numPr>
        <w:pStyle w:val="Compact"/>
      </w:pPr>
      <w:r>
        <w:rPr>
          <w:bCs/>
          <w:b/>
        </w:rPr>
        <w:t xml:space="preserve">Embrace Super-App Logic: </w:t>
      </w:r>
    </w:p>
    <w:p>
      <w:pPr>
        <w:numPr>
          <w:ilvl w:val="0"/>
          <w:numId w:val="1004"/>
        </w:numPr>
        <w:pStyle w:val="Compact"/>
      </w:pPr>
      <w:r>
        <w:t xml:space="preserve">Cultural Resonance: </w:t>
      </w:r>
    </w:p>
    <w:p>
      <w:pPr>
        <w:pStyle w:val="FirstParagraph"/>
      </w:pPr>
      <w:r>
        <w:t xml:space="preserve"> </w:t>
      </w:r>
    </w:p>
    <w:p>
      <w:pPr>
        <w:pStyle w:val="BodyText"/>
      </w:pPr>
      <w:r>
        <w:t xml:space="preserve">By adhering to these principles, the</w:t>
      </w:r>
      <w:r>
        <w:t xml:space="preserve"> </w:t>
      </w:r>
      <w:r>
        <w:rPr>
          <w:bCs/>
          <w:b/>
        </w:rPr>
        <w:t xml:space="preserve">UX UI Designer</w:t>
      </w:r>
      <w:r>
        <w:t xml:space="preserve"> can create digital products that resonate deeply with the inhabitants of **Indonesia Jakarta**, driving engagement and long-term loyalty.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Indonesia Jakarta Market</dc:title>
  <dc:creator/>
  <dc:language>en</dc:language>
  <cp:keywords/>
  <dcterms:created xsi:type="dcterms:W3CDTF">2026-07-30T02:24:27Z</dcterms:created>
  <dcterms:modified xsi:type="dcterms:W3CDTF">2026-07-30T02:24:27Z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