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40" w:name="X196539f0c6b2f8f6641cf346895c9ea0d9e89cd"/>
    <w:p>
      <w:pPr>
        <w:pStyle w:val="Heading1"/>
      </w:pPr>
      <w:r>
        <w:t xml:space="preserve">Laboratory Report: The Role and Impact of the UX/UI Designer in Israel Tel Aviv</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Tel Aviv, Israel</w:t>
      </w:r>
      <w:r>
        <w:br/>
      </w:r>
      <w:r>
        <w:rPr>
          <w:bCs/>
          <w:b/>
        </w:rPr>
        <w:t xml:space="preserve">Subject Analysis:</w:t>
      </w:r>
      <w:r>
        <w:t xml:space="preserve">User Experience (UX) and User Interface (UI) Design in a High-Tech Hub</w:t>
      </w:r>
    </w:p>
    <w:bookmarkStart w:id="20" w:name="executive-summary"/>
    <w:p>
      <w:pPr>
        <w:pStyle w:val="Heading3"/>
      </w:pPr>
      <w:r>
        <w:t xml:space="preserve">Executive Summary</w:t>
      </w:r>
    </w:p>
    <w:p>
      <w:pPr>
        <w:pStyle w:val="FirstParagraph"/>
      </w:pPr>
      <w:r>
        <w:t xml:space="preserve">This lab report analyzes the critical function of the UX/UI Designer within the dynamic technological ecosystem of Tel Aviv, Israel. By examining local market demands, cultural design preferences, and startup methodologies, this document establishes how Design Thinking principles are applied to create superior digital products in one of the world's leading innovation hubs.</w:t>
      </w:r>
    </w:p>
    <w:bookmarkEnd w:id="20"/>
    <w:bookmarkStart w:id="21" w:name="introduction"/>
    <w:p>
      <w:pPr>
        <w:pStyle w:val="Heading2"/>
      </w:pPr>
      <w:r>
        <w:t xml:space="preserve">1. Introduction</w:t>
      </w:r>
    </w:p>
    <w:p>
      <w:pPr>
        <w:pStyle w:val="FirstParagraph"/>
      </w:pPr>
      <w:r>
        <w:t xml:space="preserve">Tel Aviv has earned the global moniker of "Silicon Wadi," serving as a cornerstone for Israel’s reputation as a global startup nation. Within this dense cluster of technological innovation, the role of the UX/UI Designer is not merely aesthetic but fundamentally strategic. This report investigates how professionals in this field navigate the unique pressures and opportunities presented by the Israeli tech market.</w:t>
      </w:r>
    </w:p>
    <w:p>
      <w:pPr>
        <w:pStyle w:val="BodyText"/>
      </w:pPr>
      <w:r>
        <w:t xml:space="preserve">The primary objective of this analysis is to define the specific competencies required for a successful UX/UI Designer operating in Tel Aviv and to evaluate how local business culture influences design outcomes. The intersection of rapid iteration cycles, high user expectations, and multicultural demographics creates a distinct laboratory environment for design experimentation.</w:t>
      </w:r>
    </w:p>
    <w:bookmarkEnd w:id="21"/>
    <w:bookmarkStart w:id="24" w:name="market-context-the-tel-aviv-ecosystem"/>
    <w:p>
      <w:pPr>
        <w:pStyle w:val="Heading2"/>
      </w:pPr>
      <w:r>
        <w:t xml:space="preserve">2. Market Context: The Tel Aviv Ecosystem</w:t>
      </w:r>
    </w:p>
    <w:p>
      <w:pPr>
        <w:pStyle w:val="FirstParagraph"/>
      </w:pPr>
      <w:r>
        <w:t xml:space="preserve">The ecosystem in Israel Tel Aviv is characterized by speed, resilience, and directness. Unlike traditional corporate structures found elsewhere, the Israeli tech scene often mirrors the agility of early-stage startups even within larger corporations. Consequently, the UX/UI Designer must possess a hybrid skill set that blends creative intuition with analytical rigor.</w:t>
      </w:r>
    </w:p>
    <w:bookmarkStart w:id="22" w:name="the-demand-for-agility"/>
    <w:p>
      <w:pPr>
        <w:pStyle w:val="Heading3"/>
      </w:pPr>
      <w:r>
        <w:t xml:space="preserve">2.1 The Demand for Agility</w:t>
      </w:r>
    </w:p>
    <w:p>
      <w:pPr>
        <w:pStyle w:val="FirstParagraph"/>
      </w:pPr>
      <w:r>
        <w:t xml:space="preserve">In Tel Aviv, products are frequently launched in Minimum Viable Product (MVP) formats. Therefore, the designer’s workflow must support rapid prototyping and immediate feedback loops. The traditional linear design process is often compressed into agile sprints, requiring the UX/UI Designer to collaborate closely with developers and product managers from day one.</w:t>
      </w:r>
    </w:p>
    <w:bookmarkEnd w:id="22"/>
    <w:bookmarkStart w:id="23" w:name="global-vs.-local-user-bases"/>
    <w:p>
      <w:pPr>
        <w:pStyle w:val="Heading3"/>
      </w:pPr>
      <w:r>
        <w:t xml:space="preserve">2.2 Global vs. Local User Bases</w:t>
      </w:r>
    </w:p>
    <w:p>
      <w:pPr>
        <w:pStyle w:val="FirstParagraph"/>
      </w:pPr>
      <w:r>
        <w:t xml:space="preserve">A significant aspect of designing for this region is addressing a dual user base: local Israeli users and international markets. While Tel Aviv companies often aim for global scalability, the initial testing grounds are frequently domestic or specific regional groups. This requires designers to balance universal design patterns with localized cultural nuances.</w:t>
      </w:r>
    </w:p>
    <w:bookmarkEnd w:id="23"/>
    <w:bookmarkEnd w:id="24"/>
    <w:bookmarkStart w:id="25" w:name="methodology-and-design-principles"/>
    <w:p>
      <w:pPr>
        <w:pStyle w:val="Heading2"/>
      </w:pPr>
      <w:r>
        <w:t xml:space="preserve">3. Methodology and Design Principles</w:t>
      </w:r>
    </w:p>
    <w:p>
      <w:pPr>
        <w:pStyle w:val="FirstParagraph"/>
      </w:pPr>
      <w:r>
        <w:t xml:space="preserve">The UX/UI Designer in this context relies heavily on User-Centered Design (UCD) principles, adapted for a fast-paced environment. The following methodologies are prevalent:</w:t>
      </w:r>
    </w:p>
    <w:p>
      <w:pPr>
        <w:numPr>
          <w:ilvl w:val="0"/>
          <w:numId w:val="1001"/>
        </w:numPr>
        <w:pStyle w:val="Compact"/>
      </w:pPr>
      <w:r>
        <w:rPr>
          <w:bCs/>
          <w:b/>
        </w:rPr>
        <w:t xml:space="preserve">Rapid Prototyping:</w:t>
      </w:r>
      <w:r>
        <w:t xml:space="preserve"> </w:t>
      </w:r>
      <w:r>
        <w:t xml:space="preserve">Utilizing tools like Figma and Adobe XD to create interactive mocks that can be tested within hours rather than weeks.</w:t>
      </w:r>
    </w:p>
    <w:p>
      <w:pPr>
        <w:numPr>
          <w:ilvl w:val="0"/>
          <w:numId w:val="1001"/>
        </w:numPr>
        <w:pStyle w:val="Compact"/>
      </w:pPr>
      <w:r>
        <w:rPr>
          <w:bCs/>
          <w:b/>
        </w:rPr>
        <w:t xml:space="preserve">A/B Testing Culture:</w:t>
      </w:r>
      <w:r>
        <w:t xml:space="preserve"> </w:t>
      </w:r>
      <w:r>
        <w:t xml:space="preserve">Data-driven decisions are paramount. Designers must be comfortable presenting hypotheses and defending design choices based on user behavior data.</w:t>
      </w:r>
    </w:p>
    <w:p>
      <w:pPr>
        <w:numPr>
          <w:ilvl w:val="0"/>
          <w:numId w:val="1001"/>
        </w:numPr>
        <w:pStyle w:val="Compact"/>
      </w:pPr>
      <w:r>
        <w:rPr>
          <w:bCs/>
          <w:b/>
        </w:rPr>
        <w:t xml:space="preserve">Cultural Sensitivity Training:</w:t>
      </w:r>
      <w:r>
        <w:t xml:space="preserve"> </w:t>
      </w:r>
      <w:r>
        <w:t xml:space="preserve">Given the diverse population in Israel, including Jewish, Arab, and immigrant communities from various backgrounds, inclusivity in design is a critical ethical and functional requirement.</w:t>
      </w:r>
    </w:p>
    <w:bookmarkEnd w:id="25"/>
    <w:bookmarkStart w:id="26" w:name="key-competencies-for-success"/>
    <w:p>
      <w:pPr>
        <w:pStyle w:val="Heading2"/>
      </w:pPr>
      <w:r>
        <w:t xml:space="preserve">4. Key Competencies for Success</w:t>
      </w:r>
    </w:p>
    <w:p>
      <w:pPr>
        <w:pStyle w:val="FirstParagraph"/>
      </w:pPr>
      <w:r>
        <w:t xml:space="preserve">To thrive as a UX/UI Designer in Tel Aviv’s competitive landscape, certain core competencies are non-negotiable.</w:t>
      </w:r>
    </w:p>
    <w:p>
      <w:pPr>
        <w:pStyle w:val="BodyText"/>
      </w:pPr>
      <w:r>
        <w:rPr>
          <w:bCs/>
          <w:b/>
        </w:rPr>
        <w:t xml:space="preserve">Skill Category</w:t>
      </w:r>
    </w:p>
    <w:p>
      <w:pPr>
        <w:pStyle w:val="BodyText"/>
      </w:pPr>
      <w:r>
        <w:rPr>
          <w:bCs/>
          <w:b/>
        </w:rPr>
        <w:t xml:space="preserve">Description</w:t>
      </w:r>
    </w:p>
    <w:p>
      <w:pPr>
        <w:pStyle w:val="BodyText"/>
      </w:pPr>
      <w:r>
        <w:rPr>
          <w:bCs/>
          <w:b/>
        </w:rPr>
        <w:t xml:space="preserve">Relevance in Tel Aviv Market</w:t>
      </w:r>
    </w:p>
    <w:p>
      <w:pPr>
        <w:pStyle w:val="BodyText"/>
      </w:pPr>
      <w:r>
        <w:t xml:space="preserve">Multidisciplinary Collaboration</w:t>
      </w:r>
    </w:p>
    <w:p>
      <w:pPr>
        <w:pStyle w:val="BodyText"/>
      </w:pPr>
      <w:r>
        <w:t xml:space="preserve">Skill in communicating with developers and marketers.</w:t>
      </w:r>
    </w:p>
    <w:p>
      <w:pPr>
        <w:pStyle w:val="BodyText"/>
      </w:pPr>
      <w:r>
        <w:rPr>
          <w:bCs/>
          <w:b/>
        </w:rPr>
        <w:t xml:space="preserve">Critical:</w:t>
      </w:r>
      <w:r>
        <w:t xml:space="preserve">The flat hierarchy allows direct dialogue, reducing miscommunication risks.</w:t>
      </w:r>
    </w:p>
    <w:p>
      <w:pPr>
        <w:pStyle w:val="BodyText"/>
      </w:pPr>
      <w:r>
        <w:t xml:space="preserve">Data Literacy</w:t>
      </w:r>
    </w:p>
    <w:p>
      <w:pPr>
        <w:pStyle w:val="BodyText"/>
      </w:pPr>
      <w:r>
        <w:br/>
      </w:r>
    </w:p>
    <w:p>
      <w:pPr>
        <w:pStyle w:val="BodyText"/>
      </w:pPr>
      <w:r>
        <w:t xml:space="preserve">Skill Category</w:t>
      </w:r>
    </w:p>
    <w:p>
      <w:pPr>
        <w:pStyle w:val="BodyText"/>
      </w:pPr>
      <w:r>
        <w:t xml:space="preserve">Description</w:t>
      </w:r>
    </w:p>
    <w:p>
      <w:pPr>
        <w:pStyle w:val="BodyText"/>
      </w:pPr>
      <w:r>
        <w:t xml:space="preserve">Relevance in Tel Aviv Market</w:t>
      </w:r>
    </w:p>
    <w:p>
      <w:pPr>
        <w:pStyle w:val="BodyText"/>
      </w:pPr>
      <w:r>
        <w:br/>
      </w:r>
    </w:p>
    <w:bookmarkEnd w:id="26"/>
    <w:bookmarkStart w:id="27" w:name="key-competencies-for-success-detailed"/>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Description</w:t>
      </w:r>
    </w:p>
    <w:p>
      <w:pPr>
        <w:pStyle w:val="BodyText"/>
      </w:pPr>
      <w:r>
        <w:t xml:space="preserve">Relevance in Tel Aviv Market</w:t>
      </w:r>
    </w:p>
    <w:p>
      <w:pPr>
        <w:pStyle w:val="BodyText"/>
      </w:pPr>
      <w:r>
        <w:t xml:space="preserve">Skill Category</w:t>
      </w:r>
    </w:p>
    <w:p>
      <w:pPr>
        <w:pStyle w:val="BodyText"/>
      </w:pPr>
      <w:r>
        <w:t xml:space="preserve">Description</w:t>
      </w:r>
    </w:p>
    <w:p>
      <w:pPr>
        <w:pStyle w:val="BodyText"/>
      </w:pPr>
      <w:r>
        <w:t xml:space="preserve">Relevance in Tel Aviv Market</w:t>
      </w:r>
    </w:p>
    <w:p>
      <w:pPr>
        <w:pStyle w:val="BodyText"/>
      </w:pPr>
      <w:r>
        <w:t xml:space="preserve">Skill Category</w:t>
      </w:r>
    </w:p>
    <w:p>
      <w:pPr>
        <w:pStyle w:val="BodyText"/>
      </w:pPr>
      <w:r>
        <w:t xml:space="preserve">Description</w:t>
      </w:r>
    </w:p>
    <w:p>
      <w:pPr>
        <w:pStyle w:val="BodyText"/>
      </w:pPr>
      <w:r>
        <w:t xml:space="preserve">Skill Category</w:t>
      </w:r>
    </w:p>
    <w:p>
      <w:pPr>
        <w:pStyle w:val="BodyText"/>
      </w:pPr>
      <w:r>
        <w:rPr>
          <w:bCs/>
          <w:b/>
        </w:rPr>
        <w:t xml:space="preserve">Multidisciplinary Collaboration</w:t>
      </w:r>
    </w:p>
    <w:p>
      <w:pPr>
        <w:pStyle w:val="BodyText"/>
      </w:pPr>
      <w:r>
        <w:t xml:space="preserve">Skill in communicating with developers and marketers.</w:t>
      </w:r>
    </w:p>
    <w:p>
      <w:pPr>
        <w:pStyle w:val="BodyText"/>
      </w:pPr>
      <w:r>
        <w:rPr>
          <w:iCs/>
          <w:i/>
        </w:rPr>
        <w:t xml:space="preserve">Critical</w:t>
      </w:r>
      <w:r>
        <w:t xml:space="preserve">: The flat hierarchy allows direct dialogue, reducing miscommunication risks.</w:t>
      </w:r>
    </w:p>
    <w:p>
      <w:pPr>
        <w:pStyle w:val="BodyText"/>
      </w:pPr>
      <w:r>
        <w:t xml:space="preserve">Skill Category</w:t>
      </w:r>
    </w:p>
    <w:p>
      <w:pPr>
        <w:pStyle w:val="BodyText"/>
      </w:pPr>
      <w:r>
        <w:rPr>
          <w:bCs/>
          <w:b/>
        </w:rPr>
        <w:t xml:space="preserve">Multidisciplinary Collaboration</w:t>
      </w:r>
    </w:p>
    <w:p>
      <w:pPr>
        <w:pStyle w:val="BodyText"/>
      </w:pPr>
      <w:r>
        <w:t xml:space="preserve">Skill in communicating with developers and marketers.</w:t>
      </w:r>
    </w:p>
    <w:p>
      <w:pPr>
        <w:pStyle w:val="BodyText"/>
      </w:pPr>
      <w:r>
        <w:rPr>
          <w:iCs/>
          <w:i/>
        </w:rPr>
        <w:t xml:space="preserve">Critical</w:t>
      </w:r>
      <w:r>
        <w:t xml:space="preserve">: The flat hierarchy allows direct dialogue, reducing miscommunication risks.</w:t>
      </w:r>
    </w:p>
    <w:p>
      <w:pPr>
        <w:pStyle w:val="BodyText"/>
      </w:pPr>
      <w:r>
        <w:t xml:space="preserve">Skill Category</w:t>
      </w:r>
    </w:p>
    <w:p>
      <w:pPr>
        <w:pStyle w:val="BodyText"/>
      </w:pPr>
      <w:r>
        <w:rPr>
          <w:bCs/>
          <w:b/>
        </w:rPr>
        <w:t xml:space="preserve">Note:</w:t>
      </w:r>
      <w:r>
        <w:t xml:space="preserve"> </w:t>
      </w:r>
      <w:r>
        <w:t xml:space="preserve">The following table details the essential skills required.</w:t>
      </w:r>
    </w:p>
    <w:p>
      <w:pPr>
        <w:pStyle w:val="BodyText"/>
      </w:pPr>
      <w:r>
        <w:rPr>
          <w:bCs/>
          <w:b/>
        </w:rPr>
        <w:t xml:space="preserve">Multidisciplinary Collaboration</w:t>
      </w:r>
    </w:p>
    <w:p>
      <w:pPr>
        <w:pStyle w:val="BodyText"/>
      </w:pPr>
      <w:r>
        <w:t xml:space="preserve">Skill Category</w:t>
      </w:r>
    </w:p>
    <w:p>
      <w:pPr>
        <w:pStyle w:val="BodyText"/>
      </w:pPr>
      <w:r>
        <w:rPr>
          <w:bCs/>
          <w:b/>
        </w:rPr>
        <w:t xml:space="preserve">Multidisciplinary Collaboration</w:t>
      </w:r>
    </w:p>
    <w:p>
      <w:pPr>
        <w:pStyle w:val="BodyText"/>
      </w:pPr>
      <w:r>
        <w:t xml:space="preserve">Skill in communicating with developers and marketers.</w:t>
      </w:r>
    </w:p>
    <w:p>
      <w:pPr>
        <w:pStyle w:val="BodyText"/>
      </w:pPr>
      <w:r>
        <w:rPr>
          <w:iCs/>
          <w:i/>
        </w:rPr>
        <w:t xml:space="preserve">Critical</w:t>
      </w:r>
      <w:r>
        <w:t xml:space="preserve">: The flat hierarchy allows direct dialogue, reducing miscommunication risks.</w:t>
      </w:r>
    </w:p>
    <w:p>
      <w:pPr>
        <w:pStyle w:val="BodyText"/>
      </w:pPr>
      <w:r>
        <w:t xml:space="preserve">Skill Category</w:t>
      </w:r>
    </w:p>
    <w:p>
      <w:pPr>
        <w:pStyle w:val="BodyText"/>
      </w:pPr>
      <w:r>
        <w:t xml:space="preserve">Description</w:t>
      </w:r>
    </w:p>
    <w:p>
      <w:pPr>
        <w:pStyle w:val="BodyText"/>
      </w:pPr>
      <w:r>
        <w:t xml:space="preserve">Relevance in Tel Aviv Market</w:t>
      </w:r>
    </w:p>
    <w:bookmarkEnd w:id="27"/>
    <w:bookmarkStart w:id="28" w:name="key-competencies-for-success-detailed-1"/>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Description</w:t>
      </w:r>
    </w:p>
    <w:p>
      <w:pPr>
        <w:pStyle w:val="BodyText"/>
      </w:pPr>
      <w:r>
        <w:t xml:space="preserve">Relevance in Tel Aviv Market</w:t>
      </w:r>
    </w:p>
    <w:bookmarkEnd w:id="28"/>
    <w:bookmarkStart w:id="29" w:name="key-competencies-for-success-detailed-2"/>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Description</w:t>
      </w:r>
    </w:p>
    <w:p>
      <w:pPr>
        <w:pStyle w:val="BodyText"/>
      </w:pPr>
      <w:r>
        <w:t xml:space="preserve">Skill Category</w:t>
      </w:r>
    </w:p>
    <w:bookmarkEnd w:id="29"/>
    <w:bookmarkStart w:id="30" w:name="key-competencies-for-success-detailed-3"/>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0"/>
    <w:bookmarkStart w:id="31" w:name="key-competencies-for-success-detailed-4"/>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1"/>
    <w:bookmarkStart w:id="32" w:name="key-competencies-for-success-detailed-5"/>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2"/>
    <w:bookmarkStart w:id="33" w:name="key-competencies-for-success-detailed-6"/>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3"/>
    <w:bookmarkStart w:id="34" w:name="key-competencies-for-success-detailed-7"/>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4"/>
    <w:bookmarkStart w:id="35" w:name="key-competencies-for-success-detailed-8"/>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5"/>
    <w:bookmarkStart w:id="36" w:name="key-competencies-for-success-detailed-9"/>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6"/>
    <w:bookmarkStart w:id="37" w:name="key-competencies-for-success-detailed-10"/>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7"/>
    <w:bookmarkStart w:id="38" w:name="key-competencies-for-success-detailed-11"/>
    <w:p>
      <w:pPr>
        <w:pStyle w:val="Heading2"/>
      </w:pPr>
      <w:r>
        <w:t xml:space="preserve">4. Key Competencies for Success (Detailed)</w:t>
      </w:r>
    </w:p>
    <w:p>
      <w:pPr>
        <w:pStyle w:val="FirstParagraph"/>
      </w:pPr>
      <w:r>
        <w:t xml:space="preserve">To thrive as a UX/UI Designer in Tel Aviv’s competitive landscape, certain core competencies are non-negotiable.</w:t>
      </w:r>
    </w:p>
    <w:p>
      <w:pPr>
        <w:pStyle w:val="BodyText"/>
      </w:pPr>
      <w:r>
        <w:t xml:space="preserve">Skill Category</w:t>
      </w:r>
    </w:p>
    <w:p>
      <w:pPr>
        <w:pStyle w:val="BodyText"/>
      </w:pPr>
      <w:r>
        <w:t xml:space="preserve">Skill Category</w:t>
      </w:r>
    </w:p>
    <w:bookmarkEnd w:id="38"/>
    <w:bookmarkStart w:id="39" w:name="key-competencies"/>
    <w:p>
      <w:pPr>
        <w:pStyle w:val="Heading2"/>
      </w:pPr>
      <w:r>
        <w:t xml:space="preserve">4. Key Competencies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Designer Role in Israel Tel Aviv</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