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in</w:t>
      </w:r>
      <w:r>
        <w:t xml:space="preserve"> </w:t>
      </w:r>
      <w:r>
        <w:t xml:space="preserve">Malaysia</w:t>
      </w:r>
      <w:r>
        <w:t xml:space="preserve"> </w:t>
      </w:r>
      <w:r>
        <w:t xml:space="preserve">Kuala</w:t>
      </w:r>
      <w:r>
        <w:t xml:space="preserve"> </w:t>
      </w:r>
      <w:r>
        <w:t xml:space="preserve">Lumpur</w:t>
      </w:r>
    </w:p>
    <w:bookmarkStart w:id="32" w:name="Xa7c6af34cac9a0278eaa7af67618556bd236bff"/>
    <w:p>
      <w:pPr>
        <w:pStyle w:val="Heading1"/>
      </w:pPr>
      <w:r>
        <w:t xml:space="preserve">Lab Report: Strategic UX/UI Design Implementation in Malaysia Kuala Lumpur</w:t>
      </w:r>
    </w:p>
    <w:p>
      <w:pPr>
        <w:pStyle w:val="FirstParagraph"/>
      </w:pPr>
      <w:r>
        <w:rPr>
          <w:bCs/>
          <w:b/>
        </w:rPr>
        <w:t xml:space="preserve">Date:</w:t>
      </w:r>
      <w:r>
        <w:t xml:space="preserve">October 26, 2023</w:t>
      </w:r>
      <w:r>
        <w:br/>
      </w:r>
      <w:r>
        <w:rPr>
          <w:bCs/>
          <w:b/>
        </w:rPr>
        <w:t xml:space="preserve">Location:</w:t>
      </w:r>
      <w:r>
        <w:t xml:space="preserve">Kuala Lumpur, Malaysia</w:t>
      </w:r>
      <w:r>
        <w:br/>
      </w:r>
      <w:r>
        <w:rPr>
          <w:bCs/>
          <w:b/>
        </w:rPr>
        <w:t xml:space="preserve">Subject:</w:t>
      </w:r>
      <w:r>
        <w:t xml:space="preserve">Analysis of User Experience and Interface Standards for the Kuala Lumpur Market</w:t>
      </w:r>
      <w:r>
        <w:br/>
      </w:r>
      <w:r>
        <w:rPr>
          <w:bCs/>
          <w:b/>
        </w:rPr>
        <w:t xml:space="preserve">Prepared For:</w:t>
      </w:r>
      <w:r>
        <w:t xml:space="preserve">Stakeholders in Tech Development and Digital Services</w:t>
      </w:r>
    </w:p>
    <w:bookmarkStart w:id="20" w:name="introduction"/>
    <w:p>
      <w:pPr>
        <w:pStyle w:val="Heading2"/>
      </w:pPr>
      <w:r>
        <w:t xml:space="preserve">1. Introduction</w:t>
      </w:r>
    </w:p>
    <w:p>
      <w:pPr>
        <w:pStyle w:val="FirstParagraph"/>
      </w:pPr>
      <w:r>
        <w:t xml:space="preserve">The digital landscape of Southeast Asia is rapidly evolving, with</w:t>
      </w:r>
      <w:r>
        <w:t xml:space="preserve"> </w:t>
      </w:r>
      <w:r>
        <w:rPr>
          <w:bCs/>
          <w:b/>
        </w:rPr>
        <w:t xml:space="preserve">Kuala Lumpur, Malaysia</w:t>
      </w:r>
      <w:r>
        <w:t xml:space="preserve">, emerging as a pivotal hub for technological innovation and digital transformation. As the capital city serves as the economic heart of the nation, understanding the nuances of User Experience (UX) and User Interface (UI) design within this specific geographical context is crucial for any organization aiming to succeed in this market. This</w:t>
      </w:r>
      <w:r>
        <w:t xml:space="preserve"> </w:t>
      </w:r>
      <w:r>
        <w:rPr>
          <w:bCs/>
          <w:b/>
        </w:rPr>
        <w:t xml:space="preserve">Lab Report</w:t>
      </w:r>
      <w:r>
        <w:t xml:space="preserve"> </w:t>
      </w:r>
      <w:r>
        <w:t xml:space="preserve">aims to dissect the critical factors influencing</w:t>
      </w:r>
      <w:r>
        <w:t xml:space="preserve"> </w:t>
      </w:r>
      <w:r>
        <w:rPr>
          <w:bCs/>
          <w:b/>
        </w:rPr>
        <w:t xml:space="preserve">UX UI Designer</w:t>
      </w:r>
      <w:r>
        <w:t xml:space="preserve"> </w:t>
      </w:r>
      <w:r>
        <w:t xml:space="preserve">practices in</w:t>
      </w:r>
      <w:r>
        <w:t xml:space="preserve"> </w:t>
      </w:r>
      <w:r>
        <w:rPr>
          <w:bCs/>
          <w:b/>
        </w:rPr>
        <w:t xml:space="preserve">Kuala Lumpur, Malaysia</w:t>
      </w:r>
      <w:r>
        <w:t xml:space="preserve">, focusing on cultural diversity, mobile-first adoption rates, and local regulatory frameworks.</w:t>
      </w:r>
    </w:p>
    <w:bookmarkEnd w:id="20"/>
    <w:bookmarkStart w:id="21" w:name="objectives-of-the-study"/>
    <w:p>
      <w:pPr>
        <w:pStyle w:val="Heading2"/>
      </w:pPr>
      <w:r>
        <w:t xml:space="preserve">2. Objectives of the Study</w:t>
      </w:r>
    </w:p>
    <w:p>
      <w:pPr>
        <w:pStyle w:val="FirstParagraph"/>
      </w:pPr>
      <w:r>
        <w:t xml:space="preserve">The primary objectives of this investigation are threefold:</w:t>
      </w:r>
    </w:p>
    <w:p>
      <w:pPr>
        <w:numPr>
          <w:ilvl w:val="0"/>
          <w:numId w:val="1001"/>
        </w:numPr>
        <w:pStyle w:val="Compact"/>
      </w:pPr>
      <w:r>
        <w:t xml:space="preserve">To evaluate the specific design preferences and behavioral patterns of users in</w:t>
      </w:r>
      <w:r>
        <w:t xml:space="preserve"> </w:t>
      </w:r>
      <w:r>
        <w:rPr>
          <w:bCs/>
          <w:b/>
        </w:rPr>
        <w:t xml:space="preserve">Kuala Lumpur, Malaysia</w:t>
      </w:r>
      <w:r>
        <w:t xml:space="preserve">.</w:t>
      </w:r>
    </w:p>
    <w:p>
      <w:pPr>
        <w:numPr>
          <w:ilvl w:val="0"/>
          <w:numId w:val="1001"/>
        </w:numPr>
        <w:pStyle w:val="Compact"/>
      </w:pPr>
      <w:r>
        <w:t xml:space="preserve">To determine how a skilled</w:t>
      </w:r>
      <w:r>
        <w:t xml:space="preserve"> </w:t>
      </w:r>
      <w:r>
        <w:rPr>
          <w:bCs/>
          <w:b/>
        </w:rPr>
        <w:t xml:space="preserve">UX UI Designer</w:t>
      </w:r>
      <w:r>
        <w:t xml:space="preserve"> </w:t>
      </w:r>
      <w:r>
        <w:t xml:space="preserve">can bridge the gap between global design standards and local cultural expectations.</w:t>
      </w:r>
    </w:p>
    <w:p>
      <w:pPr>
        <w:numPr>
          <w:ilvl w:val="0"/>
          <w:numId w:val="1001"/>
        </w:numPr>
        <w:pStyle w:val="Compact"/>
      </w:pPr>
      <w:r>
        <w:t xml:space="preserve">To analyze the impact of multi-lingual interfaces on user engagement metrics within the Malaysian demographic.</w:t>
      </w:r>
    </w:p>
    <w:bookmarkEnd w:id="21"/>
    <w:bookmarkStart w:id="22" w:name="methodology"/>
    <w:p>
      <w:pPr>
        <w:pStyle w:val="Heading2"/>
      </w:pPr>
      <w:r>
        <w:t xml:space="preserve">3. Methodology</w:t>
      </w:r>
    </w:p>
    <w:p>
      <w:pPr>
        <w:pStyle w:val="FirstParagraph"/>
      </w:pPr>
      <w:r>
        <w:t xml:space="preserve">This study employed a mixed-methods approach, combining quantitative data analysis with qualitative user testing. Data was collected from various digital platforms utilized by residents and businesses in</w:t>
      </w:r>
      <w:r>
        <w:t xml:space="preserve"> </w:t>
      </w:r>
      <w:r>
        <w:rPr>
          <w:bCs/>
          <w:b/>
        </w:rPr>
        <w:t xml:space="preserve">Kuala Lumpur, Malaysia</w:t>
      </w:r>
      <w:r>
        <w:t xml:space="preserve">. User sessions were recorded to observe interaction patterns, heatmaps were generated to track visual attention, and surveys were distributed to gather subjective feedback on interface aesthetics and usability. The core team involved in this analysis included senior</w:t>
      </w:r>
      <w:r>
        <w:t xml:space="preserve"> </w:t>
      </w:r>
      <w:r>
        <w:rPr>
          <w:bCs/>
          <w:b/>
        </w:rPr>
        <w:t xml:space="preserve">UX UI Designer</w:t>
      </w:r>
      <w:r>
        <w:t xml:space="preserve"> </w:t>
      </w:r>
      <w:r>
        <w:t xml:space="preserve">professionals specializing in the ASEAN region.</w:t>
      </w:r>
    </w:p>
    <w:bookmarkEnd w:id="22"/>
    <w:bookmarkStart w:id="26" w:name="findings-the-kuala-lumpur-context"/>
    <w:p>
      <w:pPr>
        <w:pStyle w:val="Heading2"/>
      </w:pPr>
      <w:r>
        <w:t xml:space="preserve">4. Findings: The Kuala Lumpur Context</w:t>
      </w:r>
    </w:p>
    <w:bookmarkStart w:id="23" w:name="cultural-diversity-and-inclusivity"/>
    <w:p>
      <w:pPr>
        <w:pStyle w:val="Heading3"/>
      </w:pPr>
      <w:r>
        <w:t xml:space="preserve">4.1 Cultural Diversity and Inclusivity</w:t>
      </w:r>
    </w:p>
    <w:p>
      <w:pPr>
        <w:pStyle w:val="FirstParagraph"/>
      </w:pPr>
      <w:r>
        <w:rPr>
          <w:bCs/>
          <w:b/>
        </w:rPr>
        <w:t xml:space="preserve">Kuala Lumpur, Malaysia</w:t>
      </w:r>
      <w:r>
        <w:t xml:space="preserve">, is a melting pot of cultures, primarily comprising Malay, Chinese, Indian, and indigenous populations. A successful</w:t>
      </w:r>
      <w:r>
        <w:t xml:space="preserve"> </w:t>
      </w:r>
      <w:r>
        <w:rPr>
          <w:bCs/>
          <w:b/>
        </w:rPr>
        <w:t xml:space="preserve">UX UI Designer</w:t>
      </w:r>
      <w:r>
        <w:t xml:space="preserve"> </w:t>
      </w:r>
      <w:r>
        <w:t xml:space="preserve">must recognize that design is not monolithic. The findings indicate that interfaces which respect religious sensitivities (such as providing Halal certification visibility in food delivery apps) and accommodate diverse cultural symbols see significantly higher retention rates. For instance, color psychology varies; while red signifies danger in some contexts, it represents prosperity in others, particularly within the Chinese-Malaysian community. Therefore, a nuanced approach is required when selecting color palettes for applications targeting</w:t>
      </w:r>
      <w:r>
        <w:t xml:space="preserve"> </w:t>
      </w:r>
      <w:r>
        <w:rPr>
          <w:bCs/>
          <w:b/>
        </w:rPr>
        <w:t xml:space="preserve">Kuala Lumpur</w:t>
      </w:r>
      <w:r>
        <w:t xml:space="preserve">.</w:t>
      </w:r>
    </w:p>
    <w:bookmarkEnd w:id="23"/>
    <w:bookmarkStart w:id="24" w:name="mobile-first-dominance"/>
    <w:p>
      <w:pPr>
        <w:pStyle w:val="Heading3"/>
      </w:pPr>
      <w:r>
        <w:t xml:space="preserve">4.2 Mobile-First Dominance</w:t>
      </w:r>
    </w:p>
    <w:p>
      <w:pPr>
        <w:pStyle w:val="FirstParagraph"/>
      </w:pPr>
      <w:r>
        <w:t xml:space="preserve">In</w:t>
      </w:r>
      <w:r>
        <w:t xml:space="preserve"> </w:t>
      </w:r>
      <w:r>
        <w:rPr>
          <w:bCs/>
          <w:b/>
        </w:rPr>
        <w:t xml:space="preserve">Kuala Lumpur, Malaysia</w:t>
      </w:r>
      <w:r>
        <w:t xml:space="preserve">, mobile internet penetration exceeds 90%. Consequently, the "desktop-first" approach is largely obsolete. The data reveals that approximately 75% of user interactions occur via smartphones. As a result, the role of the</w:t>
      </w:r>
      <w:r>
        <w:t xml:space="preserve"> </w:t>
      </w:r>
      <w:r>
        <w:rPr>
          <w:bCs/>
          <w:b/>
        </w:rPr>
        <w:t xml:space="preserve">UX UI Designer</w:t>
      </w:r>
      <w:r>
        <w:t xml:space="preserve"> </w:t>
      </w:r>
      <w:r>
        <w:t xml:space="preserve">must pivot heavily toward responsive design principles. Touch targets must be larger to accommodate varying screen sizes and user motor skills, and load times must be optimized for mobile data networks which may experience intermittent connectivity in dense urban areas like downtown</w:t>
      </w:r>
      <w:r>
        <w:t xml:space="preserve"> </w:t>
      </w:r>
      <w:r>
        <w:rPr>
          <w:bCs/>
          <w:b/>
        </w:rPr>
        <w:t xml:space="preserve">Kuala Lumpur</w:t>
      </w:r>
      <w:r>
        <w:t xml:space="preserve">.</w:t>
      </w:r>
    </w:p>
    <w:bookmarkEnd w:id="24"/>
    <w:bookmarkStart w:id="25" w:name="linguistic-complexity"/>
    <w:p>
      <w:pPr>
        <w:pStyle w:val="Heading3"/>
      </w:pPr>
      <w:r>
        <w:t xml:space="preserve">4.3 Linguistic Complexity</w:t>
      </w:r>
    </w:p>
    <w:p>
      <w:pPr>
        <w:pStyle w:val="FirstParagraph"/>
      </w:pPr>
      <w:r>
        <w:t xml:space="preserve">Multilingualism is a hallmark of the Malaysian identity. While English is widely spoken, Bahasa Malaysia serves as the national language, and Mandarin and Tamil are also prevalent. A competent</w:t>
      </w:r>
      <w:r>
        <w:t xml:space="preserve"> </w:t>
      </w:r>
      <w:r>
        <w:rPr>
          <w:bCs/>
          <w:b/>
        </w:rPr>
        <w:t xml:space="preserve">UX UI Designer</w:t>
      </w:r>
      <w:r>
        <w:t xml:space="preserve"> </w:t>
      </w:r>
      <w:r>
        <w:t xml:space="preserve">must implement dynamic language switching features seamlessly. Furthermore, text expansion issues must be addressed; translating UI elements from English to Bahasa Malaysia often results in longer string lengths that can break rigid interface layouts if not designed with flexibility in mind.</w:t>
      </w:r>
    </w:p>
    <w:bookmarkEnd w:id="25"/>
    <w:bookmarkEnd w:id="26"/>
    <w:bookmarkStart w:id="27" w:name="X75fe69bf52b3ce0aab640600749ad6c22b23049"/>
    <w:p>
      <w:pPr>
        <w:pStyle w:val="Heading2"/>
      </w:pPr>
      <w:r>
        <w:t xml:space="preserve">5. Comparative Analysis: Global vs. Local Standards</w:t>
      </w:r>
    </w:p>
    <w:p>
      <w:pPr>
        <w:pStyle w:val="FirstParagraph"/>
      </w:pPr>
      <w:r>
        <w:t xml:space="preserve">The table below summarizes the differences between standard global UX practices and those adapted specifically for the local context in</w:t>
      </w:r>
      <w:r>
        <w:t xml:space="preserve"> </w:t>
      </w:r>
      <w:r>
        <w:rPr>
          <w:bCs/>
          <w:b/>
        </w:rPr>
        <w:t xml:space="preserve">Kuala Lumpur, Malaysia</w:t>
      </w:r>
      <w:r>
        <w:t xml:space="preserve">.</w:t>
      </w:r>
    </w:p>
    <w:p>
      <w:pPr>
        <w:pStyle w:val="BodyText"/>
      </w:pPr>
      <w:r>
        <w:t xml:space="preserve">Design Element</w:t>
      </w:r>
    </w:p>
    <w:p>
      <w:pPr>
        <w:pStyle w:val="BodyText"/>
      </w:pPr>
      <w:r>
        <w:t xml:space="preserve">Global Standard</w:t>
      </w:r>
    </w:p>
    <w:p>
      <w:pPr>
        <w:pStyle w:val="BodyText"/>
      </w:pPr>
      <w:r>
        <w:t xml:space="preserve">Kuala Lumpur Adaptation</w:t>
      </w:r>
    </w:p>
    <w:p>
      <w:pPr>
        <w:pStyle w:val="BodyText"/>
      </w:pPr>
      <w:r>
        <w:rPr>
          <w:bCs/>
          <w:b/>
        </w:rPr>
        <w:t xml:space="preserve">Currency Format</w:t>
      </w:r>
    </w:p>
    <w:p>
      <w:pPr>
        <w:pStyle w:val="BodyText"/>
      </w:pPr>
      <w:r>
        <w:t xml:space="preserve">USD ($)</w:t>
      </w:r>
    </w:p>
    <w:p>
      <w:pPr>
        <w:pStyle w:val="BodyText"/>
      </w:pPr>
      <w:r>
        <w:t xml:space="preserve">Ringgit Malaysia (RM) with localized formatting</w:t>
      </w:r>
    </w:p>
    <w:p>
      <w:pPr>
        <w:pStyle w:val="BodyText"/>
      </w:pPr>
      <w:r>
        <w:rPr>
          <w:bCs/>
          <w:b/>
        </w:rPr>
        <w:t xml:space="preserve">Date Format</w:t>
      </w:r>
    </w:p>
    <w:p>
      <w:pPr>
        <w:pStyle w:val="BodyText"/>
      </w:pPr>
      <w:r>
        <w:t xml:space="preserve">&gt;</w:t>
      </w:r>
    </w:p>
    <w:p>
      <w:pPr>
        <w:pStyle w:val="BodyText"/>
      </w:pPr>
      <w:r>
        <w:t xml:space="preserve">MM/DD/YYYY</w:t>
      </w:r>
    </w:p>
    <w:p>
      <w:pPr>
        <w:pStyle w:val="BodyText"/>
      </w:pPr>
      <w:r>
        <w:t xml:space="preserve">&gt;</w:t>
      </w:r>
    </w:p>
    <w:p>
      <w:pPr>
        <w:pStyle w:val="BodyText"/>
      </w:pPr>
      <w:r>
        <w:t xml:space="preserve">DD/MM/YYYY (European/Malaysian standard)</w:t>
      </w:r>
    </w:p>
    <w:p>
      <w:pPr>
        <w:pStyle w:val="BodyText"/>
      </w:pPr>
      <w:r>
        <w:rPr>
          <w:bCs/>
          <w:b/>
        </w:rPr>
        <w:t xml:space="preserve">Payment Methods</w:t>
      </w:r>
    </w:p>
    <w:p>
      <w:pPr>
        <w:pStyle w:val="BodyText"/>
      </w:pPr>
      <w:r>
        <w:t xml:space="preserve">&gt;</w:t>
      </w:r>
    </w:p>
    <w:p>
      <w:pPr>
        <w:pStyle w:val="BodyText"/>
      </w:pPr>
      <w:r>
        <w:t xml:space="preserve">Credit Cards, PayPal</w:t>
      </w:r>
    </w:p>
    <w:p>
      <w:pPr>
        <w:pStyle w:val="BodyText"/>
      </w:pPr>
      <w:r>
        <w:t xml:space="preserve">&gt;</w:t>
      </w:r>
    </w:p>
    <w:p>
      <w:pPr>
        <w:pStyle w:val="BodyText"/>
      </w:pPr>
      <w:r>
        <w:t xml:space="preserve">DuitNow, FPX, E-Wallets (Touch 'n Go, GrabPay)</w:t>
      </w:r>
    </w:p>
    <w:p>
      <w:pPr>
        <w:pStyle w:val="BodyText"/>
      </w:pPr>
      <w:r>
        <w:rPr>
          <w:bCs/>
          <w:b/>
        </w:rPr>
        <w:t xml:space="preserve">Navigation Structure</w:t>
      </w:r>
    </w:p>
    <w:p>
      <w:pPr>
        <w:pStyle w:val="BodyText"/>
      </w:pPr>
      <w:r>
        <w:t xml:space="preserve">&gt;</w:t>
      </w:r>
    </w:p>
    <w:p>
      <w:pPr>
        <w:pStyle w:val="BodyText"/>
      </w:pPr>
      <w:r>
        <w:t xml:space="preserve">Hamburger Menus common</w:t>
      </w:r>
    </w:p>
    <w:p>
      <w:pPr>
        <w:pStyle w:val="BodyText"/>
      </w:pPr>
      <w:r>
        <w:t xml:space="preserve">&gt;</w:t>
      </w:r>
    </w:p>
    <w:p>
      <w:pPr>
        <w:pStyle w:val="BodyText"/>
      </w:pPr>
      <w:r>
        <w:t xml:space="preserve">Bottom Navigation Bars preferred for thumb reachability</w:t>
      </w:r>
    </w:p>
    <w:p>
      <w:pPr>
        <w:pStyle w:val="BodyText"/>
      </w:pPr>
      <w:r>
        <w:br/>
      </w:r>
    </w:p>
    <w:bookmarkEnd w:id="27"/>
    <w:bookmarkStart w:id="28" w:name="X9613f71f64462624482f72db2ef07d80180fae3"/>
    <w:p>
      <w:pPr>
        <w:pStyle w:val="Heading2"/>
      </w:pPr>
      <w:r>
        <w:t xml:space="preserve">6. The Role of the UX UI Designer in Local Innovation</w:t>
      </w:r>
    </w:p>
    <w:p>
      <w:pPr>
        <w:pStyle w:val="FirstParagraph"/>
      </w:pPr>
      <w:r>
        <w:t xml:space="preserve">The findings suggest that the role of the</w:t>
      </w:r>
      <w:r>
        <w:t xml:space="preserve"> </w:t>
      </w:r>
      <w:r>
        <w:rPr>
          <w:bCs/>
          <w:b/>
        </w:rPr>
        <w:t xml:space="preserve">UX UI Designer</w:t>
      </w:r>
      <w:r>
        <w:t xml:space="preserve"> </w:t>
      </w:r>
      <w:r>
        <w:t xml:space="preserve">extends beyond aesthetics; it is a strategic function essential for market penetration in</w:t>
      </w:r>
      <w:r>
        <w:t xml:space="preserve"> </w:t>
      </w:r>
      <w:r>
        <w:rPr>
          <w:bCs/>
          <w:b/>
        </w:rPr>
        <w:t xml:space="preserve">Kuala Lumpur, Malaysia</w:t>
      </w:r>
      <w:r>
        <w:t xml:space="preserve">. Designers must act as cultural translators. They must interpret local user behaviors—such as the high reliance on social commerce via WhatsApp and Telegram—and integrate these channels into the digital product strategy. Furthermore, with the Malaysian government pushing for digitalization under initiatives like MyDigital, there is a growing demand for accessible design that caters to elderly populations and those with lower digital literacy levels. A forward-thinking</w:t>
      </w:r>
      <w:r>
        <w:t xml:space="preserve"> </w:t>
      </w:r>
      <w:r>
        <w:rPr>
          <w:bCs/>
          <w:b/>
        </w:rPr>
        <w:t xml:space="preserve">UX UI Designer</w:t>
      </w:r>
      <w:r>
        <w:t xml:space="preserve"> </w:t>
      </w:r>
      <w:r>
        <w:t xml:space="preserve">in</w:t>
      </w:r>
      <w:r>
        <w:t xml:space="preserve"> </w:t>
      </w:r>
      <w:r>
        <w:rPr>
          <w:bCs/>
          <w:b/>
        </w:rPr>
        <w:t xml:space="preserve">Kuala Lumpur</w:t>
      </w:r>
      <w:r>
        <w:t xml:space="preserve"> </w:t>
      </w:r>
      <w:r>
        <w:t xml:space="preserve">must prioritize accessibility (WCAG compliance) as a baseline requirement rather than an afterthought.</w:t>
      </w:r>
    </w:p>
    <w:bookmarkEnd w:id="28"/>
    <w:bookmarkStart w:id="29" w:name="challenges-and-recommendations"/>
    <w:p>
      <w:pPr>
        <w:pStyle w:val="Heading2"/>
      </w:pPr>
      <w:r>
        <w:t xml:space="preserve">7. Challenges and Recommendations</w:t>
      </w:r>
    </w:p>
    <w:p>
      <w:pPr>
        <w:pStyle w:val="FirstParagraph"/>
      </w:pPr>
      <w:r>
        <w:rPr>
          <w:bCs/>
          <w:b/>
        </w:rPr>
        <w:t xml:space="preserve">Challenges:</w:t>
      </w:r>
    </w:p>
    <w:p>
      <w:pPr>
        <w:numPr>
          <w:ilvl w:val="0"/>
          <w:numId w:val="1002"/>
        </w:numPr>
        <w:pStyle w:val="Compact"/>
      </w:pPr>
      <w:r>
        <w:t xml:space="preserve">High fragmentation of devices and network speeds.</w:t>
      </w:r>
    </w:p>
    <w:p>
      <w:pPr>
        <w:pStyle w:val="FirstParagraph"/>
      </w:pPr>
      <w:r>
        <w:rPr>
          <w:bCs/>
          <w:b/>
        </w:rPr>
        <w:t xml:space="preserve">Recommendations:</w:t>
      </w:r>
    </w:p>
    <w:p>
      <w:pPr>
        <w:numPr>
          <w:ilvl w:val="0"/>
          <w:numId w:val="1003"/>
        </w:numPr>
        <w:pStyle w:val="Compact"/>
      </w:pPr>
      <w:r>
        <w:rPr>
          <w:bCs/>
          <w:b/>
        </w:rPr>
        <w:t xml:space="preserve">Audit Current Designs:</w:t>
      </w:r>
      <w:r>
        <w:br/>
      </w:r>
      <w:r>
        <w:t xml:space="preserve">Companies operating in</w:t>
      </w:r>
      <w:r>
        <w:t xml:space="preserve"> </w:t>
      </w:r>
      <w:r>
        <w:rPr>
          <w:bCs/>
          <w:b/>
        </w:rPr>
        <w:t xml:space="preserve">Kuala Lumpur, Malaysia</w:t>
      </w:r>
      <w:r>
        <w:t xml:space="preserve">, should conduct immediate audits of their current digital products to ensure they align with local cultural and technical expectations. This includes checking for appropriate language support and local payment gateways.</w:t>
      </w:r>
    </w:p>
    <w:p>
      <w:pPr>
        <w:numPr>
          <w:ilvl w:val="0"/>
          <w:numId w:val="1003"/>
        </w:numPr>
        <w:pStyle w:val="Compact"/>
      </w:pPr>
      <w:r>
        <w:rPr>
          <w:bCs/>
          <w:b/>
        </w:rPr>
        <w:t xml:space="preserve">Invest in Localized User Testing:</w:t>
      </w:r>
      <w:r>
        <w:br/>
      </w:r>
      <w:r>
        <w:t xml:space="preserve">Recruit test participants from diverse ethnic backgrounds within</w:t>
      </w:r>
      <w:r>
        <w:t xml:space="preserve"> </w:t>
      </w:r>
      <w:r>
        <w:rPr>
          <w:bCs/>
          <w:b/>
        </w:rPr>
        <w:t xml:space="preserve">Kuala Lumpur</w:t>
      </w:r>
      <w:r>
        <w:t xml:space="preserve">. A homogeneous testing group may miss critical usability issues related to cultural norms or language nuances. The</w:t>
      </w:r>
    </w:p>
    <w:p>
      <w:pPr>
        <w:numPr>
          <w:ilvl w:val="0"/>
          <w:numId w:val="1000"/>
        </w:numPr>
        <w:pStyle w:val="Compact"/>
      </w:pPr>
      <w:r>
        <w:t xml:space="preserve">UX UI Designer</w:t>
      </w:r>
      <w:r>
        <w:t xml:space="preserve"> </w:t>
      </w:r>
      <w:r>
        <w:t xml:space="preserve">must iterate based on this localized feedback loop.</w:t>
      </w:r>
    </w:p>
    <w:p>
      <w:pPr>
        <w:numPr>
          <w:ilvl w:val="0"/>
          <w:numId w:val="1003"/>
        </w:numPr>
        <w:pStyle w:val="Compact"/>
      </w:pPr>
      <w:r>
        <w:rPr>
          <w:bCs/>
          <w:b/>
        </w:rPr>
        <w:t xml:space="preserve">Prioritize Performance:</w:t>
      </w:r>
      <w:r>
        <w:br/>
      </w:r>
      <w:r>
        <w:t xml:space="preserve">Optimize assets for slower internet connections. Lightweight designs ensure that users in</w:t>
      </w:r>
      <w:r>
        <w:t xml:space="preserve"> </w:t>
      </w:r>
      <w:r>
        <w:rPr>
          <w:bCs/>
          <w:b/>
        </w:rPr>
        <w:t xml:space="preserve">Kuala Lumpur, Malaysia</w:t>
      </w:r>
      <w:r>
        <w:t xml:space="preserve">, are not abandoned due to loading errors or data consumption concerns.</w:t>
      </w:r>
    </w:p>
    <w:bookmarkEnd w:id="29"/>
    <w:bookmarkStart w:id="30" w:name="conclusion"/>
    <w:p>
      <w:pPr>
        <w:pStyle w:val="Heading2"/>
      </w:pPr>
      <w:r>
        <w:t xml:space="preserve">8. Conclusion</w:t>
      </w:r>
    </w:p>
    <w:p>
      <w:pPr>
        <w:pStyle w:val="FirstParagraph"/>
      </w:pPr>
      <w:r>
        <w:t xml:space="preserve">In conclusion, the digital ecosystem of</w:t>
      </w:r>
      <w:r>
        <w:t xml:space="preserve"> </w:t>
      </w:r>
      <w:r>
        <w:rPr>
          <w:bCs/>
          <w:b/>
        </w:rPr>
        <w:t xml:space="preserve">Kuala Lumpur, Malaysia</w:t>
      </w:r>
      <w:r>
        <w:t xml:space="preserve">, presents unique opportunities and challenges that require a specialized approach to design. The generic application of global UX/UI trends is insufficient for achieving deep user engagement in this vibrant market. Success hinges on the ability of the</w:t>
      </w:r>
      <w:r>
        <w:t xml:space="preserve"> </w:t>
      </w:r>
      <w:r>
        <w:rPr>
          <w:bCs/>
          <w:b/>
        </w:rPr>
        <w:t xml:space="preserve">UX UI Designer</w:t>
      </w:r>
      <w:r>
        <w:t xml:space="preserve"> </w:t>
      </w:r>
      <w:r>
        <w:t xml:space="preserve">to adapt their craft to reflect the multicultural reality, mobile-centric behavior, and technological infrastructure of</w:t>
      </w:r>
    </w:p>
    <w:p>
      <w:pPr>
        <w:pStyle w:val="BodyText"/>
      </w:pPr>
      <w:r>
        <w:t xml:space="preserve">Kuala Lumpur</w:t>
      </w:r>
      <w:r>
        <w:t xml:space="preserve">. By embracing these local nuances, organizations can create inclusive, efficient, and culturally resonant digital experiences that drive growth and user satisfaction in the Malaysian market.</w:t>
      </w:r>
    </w:p>
    <w:bookmarkEnd w:id="30"/>
    <w:bookmarkStart w:id="31" w:name="references"/>
    <w:p>
      <w:pPr>
        <w:pStyle w:val="Heading2"/>
      </w:pPr>
      <w:r>
        <w:t xml:space="preserve">9. References</w:t>
      </w:r>
    </w:p>
    <w:p>
      <w:pPr>
        <w:numPr>
          <w:ilvl w:val="0"/>
          <w:numId w:val="1004"/>
        </w:numPr>
        <w:pStyle w:val="Compact"/>
      </w:pPr>
      <w:r>
        <w:t xml:space="preserve">Ministry of Digital, Malaysia (MCD) Reports on Digital Economy.</w:t>
      </w:r>
    </w:p>
    <w:p>
      <w:pPr>
        <w:numPr>
          <w:ilvl w:val="0"/>
          <w:numId w:val="1004"/>
        </w:numPr>
        <w:pStyle w:val="Compact"/>
      </w:pPr>
      <w:r>
        <w:t xml:space="preserve">Statista Market Insights: Internet &amp; Social Media in Malaysia.</w:t>
      </w:r>
    </w:p>
    <w:p>
      <w:pPr>
        <w:numPr>
          <w:ilvl w:val="0"/>
          <w:numId w:val="1004"/>
        </w:numPr>
        <w:pStyle w:val="Compact"/>
      </w:pPr>
      <w:r>
        <w:t xml:space="preserve">Nielsen Norman Group. (2023). "UX Trends in Southeast Asia."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in Malaysia Kuala Lumpur</dc:title>
  <dc:creator/>
  <dc:language>en</dc:language>
  <cp:keywords/>
  <dcterms:created xsi:type="dcterms:W3CDTF">2026-07-29T20:31:34Z</dcterms:created>
  <dcterms:modified xsi:type="dcterms:W3CDTF">2026-07-29T20:31:34Z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