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for</w:t>
      </w:r>
      <w:r>
        <w:t xml:space="preserve"> </w:t>
      </w:r>
      <w:r>
        <w:t xml:space="preserve">the</w:t>
      </w:r>
      <w:r>
        <w:t xml:space="preserve"> </w:t>
      </w:r>
      <w:r>
        <w:t xml:space="preserve">Moscow</w:t>
      </w:r>
      <w:r>
        <w:t xml:space="preserve"> </w:t>
      </w:r>
      <w:r>
        <w:t xml:space="preserve">Market</w:t>
      </w:r>
    </w:p>
    <w:bookmarkStart w:id="31" w:name="X1b5c9da1447267c852bb761077f488fef9d7f2e"/>
    <w:p>
      <w:pPr>
        <w:pStyle w:val="Heading1"/>
      </w:pPr>
      <w:r>
        <w:t xml:space="preserve">Laboratory Report: Strategic UX/UI Design Implementation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Product Development Committee</w:t>
      </w:r>
      <w:r>
        <w:br/>
      </w:r>
      <w:r>
        <w:rPr>
          <w:bCs/>
          <w:b/>
        </w:rPr>
        <w:t xml:space="preserve">From:</w:t>
      </w:r>
      <w:r>
        <w:t xml:space="preserve"> </w:t>
      </w:r>
      <w:r>
        <w:t xml:space="preserve">Senior UX Research Analyst</w:t>
      </w:r>
      <w:r>
        <w:br/>
      </w:r>
    </w:p>
    <w:p>
      <w:pPr>
        <w:pStyle w:val="BodyText"/>
      </w:pPr>
      <w:r>
        <w:t xml:space="preserve">Optimizing User Experience and Interface Design for the Russia Moscow Market Segment</w:t>
      </w:r>
    </w:p>
    <w:bookmarkStart w:id="20" w:name="introduction-and-executive-summary"/>
    <w:p>
      <w:pPr>
        <w:pStyle w:val="Heading2"/>
      </w:pPr>
      <w:r>
        <w:t xml:space="preserve">1. Introduction and Executive Summary</w:t>
      </w:r>
    </w:p>
    <w:p>
      <w:pPr>
        <w:pStyle w:val="FirstParagraph"/>
      </w:pPr>
      <w:r>
        <w:t xml:space="preserve">The purpose of this Lab Report is to conduct a comprehensive analysis of User Experience (UX) and User Interface (UI) design principles specifically tailored for the digital ecosystem in Russia Moscow. As global technology standards evolve, local markets often exhibit unique behavioral patterns, cultural expectations, and technical constraints that necessitate distinct design strategies.</w:t>
      </w:r>
    </w:p>
    <w:p>
      <w:pPr>
        <w:pStyle w:val="BodyText"/>
      </w:pPr>
      <w:r>
        <w:t xml:space="preserve">This document serves as a critical examination of how UX/UI Designer methodologies must adapt when applied to the specific demographic and infrastructural realities of Russia Moscow. The report argues that a generic global design template is insufficient for this region due to high digital literacy, specific mobile-first consumption habits, and local regulatory environments. By analyzing these factors, we aim to provide actionable insights for creating interfaces that resonate with users in Russia Moscow.</w:t>
      </w:r>
    </w:p>
    <w:bookmarkEnd w:id="20"/>
    <w:bookmarkStart w:id="21" w:name="objective"/>
    <w:p>
      <w:pPr>
        <w:pStyle w:val="Heading2"/>
      </w:pPr>
      <w:r>
        <w:t xml:space="preserve">2. Objective</w:t>
      </w:r>
    </w:p>
    <w:p>
      <w:pPr>
        <w:pStyle w:val="FirstParagraph"/>
      </w:pPr>
      <w:r>
        <w:t xml:space="preserve">The primary objective of this lab exercise is to define the key UX/UI parameters required for success in the Russia Moscow market. Specifically, we seek to answer:</w:t>
      </w:r>
    </w:p>
    <w:p>
      <w:pPr>
        <w:numPr>
          <w:ilvl w:val="0"/>
          <w:numId w:val="1001"/>
        </w:numPr>
        <w:pStyle w:val="Compact"/>
      </w:pPr>
      <w:r>
        <w:t xml:space="preserve">How do users in Russia Moscow interact with digital interfaces compared to Western counterparts?</w:t>
      </w:r>
    </w:p>
    <w:p>
      <w:pPr>
        <w:numPr>
          <w:ilvl w:val="0"/>
          <w:numId w:val="1001"/>
        </w:numPr>
        <w:pStyle w:val="Compact"/>
      </w:pPr>
      <w:r>
        <w:t xml:space="preserve">What are the critical UI components that drive engagement and trust in this specific locale?</w:t>
      </w:r>
    </w:p>
    <w:p>
      <w:pPr>
        <w:numPr>
          <w:ilvl w:val="0"/>
          <w:numId w:val="1001"/>
        </w:numPr>
        <w:pStyle w:val="Compact"/>
      </w:pPr>
      <w:r>
        <w:t xml:space="preserve">In what ways must a UX/UI Designer modify their workflow to accommodate local technical standards such as 5G adoption rates, hardware fragmentation, and language complexity (Cyrillic vs. Latin scripts)?</w:t>
      </w:r>
    </w:p>
    <w:bookmarkEnd w:id="21"/>
    <w:bookmarkStart w:id="22" w:name="methodology"/>
    <w:p>
      <w:pPr>
        <w:pStyle w:val="Heading2"/>
      </w:pPr>
      <w:r>
        <w:t xml:space="preserve">3. Methodology</w:t>
      </w:r>
    </w:p>
    <w:p>
      <w:pPr>
        <w:pStyle w:val="FirstParagraph"/>
      </w:pPr>
      <w:r>
        <w:t xml:space="preserve">This report is based on a mixed-methods approach involving:</w:t>
      </w:r>
    </w:p>
    <w:p>
      <w:pPr>
        <w:numPr>
          <w:ilvl w:val="0"/>
          <w:numId w:val="1002"/>
        </w:numPr>
        <w:pStyle w:val="Compact"/>
      </w:pPr>
      <w:r>
        <w:rPr>
          <w:bCs/>
          <w:b/>
        </w:rPr>
        <w:t xml:space="preserve">Audit of Top Local Platforms:</w:t>
      </w:r>
      <w:r>
        <w:t xml:space="preserve"> </w:t>
      </w:r>
      <w:r>
        <w:t xml:space="preserve">Analysis of leading applications used in Russia Moscow (e.g., Yandex, Tinkoff, SberBank) to identify prevailing UI patterns.</w:t>
      </w:r>
    </w:p>
    <w:p>
      <w:pPr>
        <w:numPr>
          <w:ilvl w:val="0"/>
          <w:numId w:val="1002"/>
        </w:numPr>
        <w:pStyle w:val="Compact"/>
      </w:pPr>
      <w:r>
        <w:rPr>
          <w:bCs/>
          <w:b/>
        </w:rPr>
        <w:t xml:space="preserve">User Behavior Data Review:</w:t>
      </w:r>
      <w:r>
        <w:t xml:space="preserve"> </w:t>
      </w:r>
      <w:r>
        <w:t xml:space="preserve">Examination of recent studies regarding screen time, device preference (iOS vs. Android), and navigation depth tolerance among Moscow residents.</w:t>
      </w:r>
    </w:p>
    <w:p>
      <w:pPr>
        <w:numPr>
          <w:ilvl w:val="0"/>
          <w:numId w:val="1002"/>
        </w:numPr>
        <w:pStyle w:val="Compact"/>
      </w:pPr>
      <w:r>
        <w:rPr>
          <w:bCs/>
          <w:b/>
        </w:rPr>
        <w:t xml:space="preserve">Cultural Semiotics Analysis:</w:t>
      </w:r>
      <w:r>
        <w:t xml:space="preserve"> </w:t>
      </w:r>
      <w:r>
        <w:t xml:space="preserve">Reviewing color psychology and iconography preferences specific to Russian cultural contexts.</w:t>
      </w:r>
    </w:p>
    <w:bookmarkEnd w:id="22"/>
    <w:bookmarkStart w:id="27" w:name="key-findings-the-moscow-digital-context"/>
    <w:p>
      <w:pPr>
        <w:pStyle w:val="Heading2"/>
      </w:pPr>
      <w:r>
        <w:t xml:space="preserve">4. Key Findings: The Moscow Digital Context</w:t>
      </w:r>
    </w:p>
    <w:bookmarkStart w:id="23" w:name="Xa5a9a195503191d64f06499214a12bed947fff3"/>
    <w:p>
      <w:pPr>
        <w:pStyle w:val="Heading3"/>
      </w:pPr>
      <w:r>
        <w:t xml:space="preserve">4.1 The Dominance of Super-Apps and Ecosystems</w:t>
      </w:r>
    </w:p>
    <w:p>
      <w:pPr>
        <w:pStyle w:val="FirstParagraph"/>
      </w:pPr>
      <w:r>
        <w:t xml:space="preserve">In Russia Moscow, the concept of a standalone app is often secondary to ecosystem integration. Users in this region are accustomed to "Super-Apps" that consolidate banking, transportation (such as the Unified Travel Card), government services (Gosuslugi), and retail into single platforms. Consequently, a UX/UI Designer working for this market must prioritize seamless navigation between diverse service modules within a unified visual language.</w:t>
      </w:r>
    </w:p>
    <w:bookmarkEnd w:id="23"/>
    <w:bookmarkStart w:id="24" w:name="high-digital-literacy-and-ui-density"/>
    <w:p>
      <w:pPr>
        <w:pStyle w:val="Heading3"/>
      </w:pPr>
      <w:r>
        <w:t xml:space="preserve">4.2 High Digital Literacy and UI Density</w:t>
      </w:r>
    </w:p>
    <w:p>
      <w:pPr>
        <w:pStyle w:val="FirstParagraph"/>
      </w:pPr>
      <w:r>
        <w:t xml:space="preserve">Versus many Western markets where minimalism is the dominant trend, users in Russia Moscow display a higher tolerance for information density. Interfaces often present more data points per screen without inducing cognitive overload, as the target audience values efficiency and comprehensive information access. Therefore, a UX/UI Designer must balance clean aesthetics with functional richness, avoiding over-simplification that might hide critical details from savvy users.</w:t>
      </w:r>
    </w:p>
    <w:bookmarkEnd w:id="24"/>
    <w:bookmarkStart w:id="25" w:name="Xe42e8039abeb5f1b7e0880b46a6a130a31cd30c"/>
    <w:p>
      <w:pPr>
        <w:pStyle w:val="Heading3"/>
      </w:pPr>
      <w:r>
        <w:t xml:space="preserve">4.3 Language Considerations: Cyrillic Typography</w:t>
      </w:r>
    </w:p>
    <w:p>
      <w:pPr>
        <w:pStyle w:val="FirstParagraph"/>
      </w:pPr>
      <w:r>
        <w:t xml:space="preserve">A critical UI aspect is the handling of the Cyrillic script. Words in Russian are generally longer than their English equivalents. For instance, navigation labels often require more horizontal space or vertical line breaks. A UX/UI Designer must select typefaces that maintain legibility at smaller sizes and ensure that layouts are responsive to text expansion. Rigid grid systems designed for Latin characters may fail when translated, leading to broken interfaces if not properly anticipated.</w:t>
      </w:r>
    </w:p>
    <w:bookmarkEnd w:id="25"/>
    <w:bookmarkStart w:id="26" w:name="mobile-first-reality"/>
    <w:p>
      <w:pPr>
        <w:pStyle w:val="Heading3"/>
      </w:pPr>
      <w:r>
        <w:t xml:space="preserve">4.4 Mobile-First Reality</w:t>
      </w:r>
    </w:p>
    <w:p>
      <w:pPr>
        <w:pStyle w:val="FirstParagraph"/>
      </w:pPr>
      <w:r>
        <w:t xml:space="preserve">The penetration rate of high-end smartphones in Russia Moscow is exceptionally high, and mobile internet usage often surpasses desktop usage even for complex financial transactions. Thus, the design process must begin with mobile prototypes (iOS and Android) rather than desktop mockups.</w:t>
      </w:r>
    </w:p>
    <w:bookmarkEnd w:id="26"/>
    <w:bookmarkEnd w:id="27"/>
    <w:bookmarkStart w:id="28" w:name="X84e21156b276eac52920a36f7dbffbbab78709e"/>
    <w:p>
      <w:pPr>
        <w:pStyle w:val="Heading2"/>
      </w:pPr>
      <w:r>
        <w:t xml:space="preserve">5. Comparative Analysis: Global vs. Russia Moscow UX</w:t>
      </w:r>
    </w:p>
    <w:p>
      <w:pPr>
        <w:pStyle w:val="FirstParagraph"/>
      </w:pPr>
      <w:r>
        <w:t xml:space="preserve">Factor</w:t>
      </w:r>
    </w:p>
    <w:bookmarkEnd w:id="28"/>
    <w:p>
      <w:pPr>
        <w:pStyle w:val="BodyText"/>
      </w:pPr>
      <w:r>
        <w:t xml:space="preserve">Average Global Standard</w:t>
      </w:r>
    </w:p>
    <w:p>
      <w:pPr>
        <w:pStyle w:val="BodyText"/>
      </w:pPr>
      <w:r>
        <w:t xml:space="preserve">Russia Moscow Specifics</w:t>
      </w:r>
    </w:p>
    <w:p>
      <w:pPr>
        <w:pStyle w:val="BodyText"/>
      </w:pPr>
      <w:r>
        <w:t xml:space="preserve">&gt;</w:t>
      </w:r>
    </w:p>
    <w:p>
      <w:pPr>
        <w:pStyle w:val="BodyText"/>
      </w:pPr>
      <w:r>
        <w:t xml:space="preserve">Factor</w:t>
      </w:r>
    </w:p>
    <w:p>
      <w:pPr>
        <w:pStyle w:val="BodyText"/>
      </w:pPr>
      <w:r>
        <w:t xml:space="preserve">Average Global Standard</w:t>
      </w:r>
    </w:p>
    <w:p>
      <w:pPr>
        <w:pStyle w:val="BodyText"/>
      </w:pPr>
      <w:r>
        <w:t xml:space="preserve">Russia Moscow Specifics</w:t>
      </w:r>
    </w:p>
    <w:p>
      <w:pPr>
        <w:pStyle w:val="BodyText"/>
      </w:pPr>
      <w:r>
        <w:t xml:space="preserve">&gt;</w:t>
      </w:r>
    </w:p>
    <w:p>
      <w:pPr>
        <w:pStyle w:val="BodyText"/>
      </w:pPr>
      <w:r>
        <w:t xml:space="preserve">&gt;</w:t>
      </w:r>
    </w:p>
    <w:p>
      <w:pPr>
        <w:pStyle w:val="BodyText"/>
      </w:pPr>
      <w:r>
        <w:rPr>
          <w:bCs/>
          <w:b/>
        </w:rPr>
        <w:t xml:space="preserve">Information Density</w:t>
      </w:r>
    </w:p>
    <w:p>
      <w:pPr>
        <w:pStyle w:val="BodyText"/>
      </w:pPr>
      <w:r>
        <w:t xml:space="preserve">Minimalist, white space heavy.</w:t>
      </w:r>
    </w:p>
    <w:p>
      <w:pPr>
        <w:pStyle w:val="BodyText"/>
      </w:pPr>
      <w:r>
        <w:t xml:space="preserve">Data-rich, high information density preferred for utility.Tbody&gt;&gt;</w:t>
      </w:r>
    </w:p>
    <w:p>
      <w:pPr>
        <w:pStyle w:val="BodyText"/>
      </w:pPr>
      <w:r>
        <w:t xml:space="preserve">&gt;</w:t>
      </w:r>
    </w:p>
    <w:p>
      <w:pPr>
        <w:pStyle w:val="BodyText"/>
      </w:pPr>
      <w:r>
        <w:t xml:space="preserve">Factor</w:t>
      </w:r>
    </w:p>
    <w:p>
      <w:pPr>
        <w:pStyle w:val="BodyText"/>
      </w:pPr>
      <w:r>
        <w:t xml:space="preserve">Average Global Standard</w:t>
      </w:r>
    </w:p>
    <w:p>
      <w:pPr>
        <w:pStyle w:val="BodyText"/>
      </w:pPr>
      <w:r>
        <w:t xml:space="preserve">Td&gt;</w:t>
      </w:r>
    </w:p>
    <w:p>
      <w:pPr>
        <w:pStyle w:val="BodyText"/>
      </w:pPr>
      <w:r>
        <w:rPr>
          <w:bCs/>
          <w:b/>
        </w:rPr>
        <w:t xml:space="preserve">Russia Moscow Specifics</w:t>
      </w:r>
    </w:p>
    <w:p>
      <w:pPr>
        <w:pStyle w:val="BodyText"/>
      </w:pPr>
      <w:r>
        <w:t xml:space="preserve">Tbody&gt;&gt;</w:t>
      </w:r>
    </w:p>
    <w:p>
      <w:pPr>
        <w:pStyle w:val="BodyText"/>
      </w:pPr>
      <w:r>
        <w:t xml:space="preserve">&gt;</w:t>
      </w:r>
    </w:p>
    <w:p>
      <w:pPr>
        <w:pStyle w:val="BodyText"/>
      </w:pPr>
      <w:r>
        <w:t xml:space="preserve">Note: Due to formatting constraints in this simulation, please refer to the following summarized data for Table 1:</w:t>
      </w:r>
    </w:p>
    <w:p>
      <w:pPr>
        <w:numPr>
          <w:ilvl w:val="0"/>
          <w:numId w:val="1003"/>
        </w:numPr>
      </w:pPr>
      <w:r>
        <w:rPr>
          <w:bCs/>
          <w:b/>
        </w:rPr>
        <w:t xml:space="preserve">Navigation Depth:</w:t>
      </w:r>
      <w:r>
        <w:t xml:space="preserve"> </w:t>
      </w:r>
      <w:r>
        <w:t xml:space="preserve">Global apps often use deep hierarchies; Moscow users prefer flatter structures with quick access tabs.&gt;</w:t>
      </w:r>
    </w:p>
    <w:p>
      <w:pPr>
        <w:numPr>
          <w:ilvl w:val="0"/>
          <w:numId w:val="1000"/>
        </w:numPr>
      </w:pPr>
      <w:r>
        <w:t xml:space="preserve">&gt;</w:t>
      </w:r>
    </w:p>
    <w:p>
      <w:pPr>
        <w:numPr>
          <w:ilvl w:val="0"/>
          <w:numId w:val="1000"/>
        </w:numPr>
      </w:pPr>
      <w:r>
        <w:rPr>
          <w:iCs/>
          <w:i/>
        </w:rPr>
        <w:t xml:space="preserve">(See Table 1 below for detailed comparison)</w:t>
      </w:r>
    </w:p>
    <w:p>
      <w:pPr>
        <w:numPr>
          <w:ilvl w:val="0"/>
          <w:numId w:val="1000"/>
        </w:numPr>
        <w:pStyle w:val="Heading3"/>
      </w:pPr>
      <w:bookmarkStart w:id="29" w:name="trust-signals-and-security-ui"/>
      <w:r>
        <w:t xml:space="preserve">5.1 Trust Signals and Security UI</w:t>
      </w:r>
      <w:bookmarkEnd w:id="29"/>
    </w:p>
    <w:p>
      <w:pPr>
        <w:numPr>
          <w:ilvl w:val="0"/>
          <w:numId w:val="1000"/>
        </w:numPr>
      </w:pPr>
      <w:r>
        <w:t xml:space="preserve">In Russia Moscow, users are highly security-conscious due to a history of digital fraud and phishing campaigns. The UI must prominently feature trust signals. This includes visible SSL certificates, clear privacy policy links in plain language (not legalese), and familiar banking icons. A UX/UI Designer must integrate these elements organically into the design flow without creating visual clutter.</w:t>
      </w:r>
    </w:p>
    <w:p>
      <w:pPr>
        <w:numPr>
          <w:ilvl w:val="0"/>
          <w:numId w:val="1000"/>
        </w:numPr>
        <w:pStyle w:val="Heading2"/>
      </w:pPr>
      <w:bookmarkStart w:id="30" w:name="challenges-for-the-uxui-designer"/>
      <w:r>
        <w:t xml:space="preserve">6. Challenges for the UX/UI Designer</w:t>
      </w:r>
      <w:bookmarkEnd w:id="30"/>
    </w:p>
    <w:p>
      <w:pPr>
        <w:numPr>
          <w:ilvl w:val="0"/>
          <w:numId w:val="1000"/>
        </w:numPr>
      </w:pPr>
      <w:r>
        <w:t xml:space="preserve">The role of a UX/UI Designer in this region is fraught with specific challenges:</w:t>
      </w:r>
    </w:p>
    <w:p>
      <w:pPr>
        <w:numPr>
          <w:ilvl w:val="0"/>
          <w:numId w:val="1000"/>
        </w:numPr>
        <w:pStyle w:val="Compact"/>
      </w:pPr>
      <w:r>
        <w:t xml:space="preserve">Tbody&gt;&gt;</w:t>
      </w:r>
    </w:p>
    <w:p>
      <w:pPr>
        <w:numPr>
          <w:ilvl w:val="0"/>
          <w:numId w:val="1000"/>
        </w:numPr>
        <w:pStyle w:val="Compact"/>
      </w:pPr>
      <w:r>
        <w:t xml:space="preserve">&gt;</w:t>
      </w:r>
    </w:p>
    <w:p>
      <w:pPr>
        <w:numPr>
          <w:ilvl w:val="1"/>
          <w:numId w:val="1004"/>
        </w:numPr>
        <w:pStyle w:val="Compact"/>
      </w:pPr>
      <w:r>
        <w:rPr>
          <w:bCs/>
          <w:b/>
        </w:rPr>
        <w:t xml:space="preserve">Currency and Formatting:</w:t>
      </w:r>
      <w:r>
        <w:t xml:space="preserve"> </w:t>
      </w:r>
      <w:r>
        <w:t xml:space="preserve">The use of the Ruble sign (₽) and European date formats (DD.MM.YYYY) requires flexible UI components that can adapt to local standards automatically.</w:t>
      </w:r>
    </w:p>
    <w:p>
      <w:pPr>
        <w:numPr>
          <w:ilvl w:val="1"/>
          <w:numId w:val="1004"/>
        </w:numPr>
        <w:pStyle w:val="Compact"/>
      </w:pPr>
      <w:r>
        <w:t xml:space="preserve">Internet Infrastructure Variance: While Moscow has excellent 5G/4G coverage, users may switch networks or experience latency. UIs must have robust offline states and loading skeletons that do not frustrate the user.</w:t>
      </w:r>
    </w:p>
    <w:p>
      <w:pPr>
        <w:numPr>
          <w:ilvl w:val="1"/>
          <w:numId w:val="1004"/>
        </w:numPr>
        <w:pStyle w:val="Compact"/>
      </w:pPr>
      <w:r>
        <w:t xml:space="preserve">Censorship and Localization: Designers must be aware of local content regulations, ensuring that imagery and text comply with regional laws while maintaining a global brand identity if applicable.</w:t>
      </w:r>
    </w:p>
    <w:p>
      <w:pPr>
        <w:numPr>
          <w:ilvl w:val="0"/>
          <w:numId w:val="1000"/>
        </w:numPr>
      </w:pPr>
      <w:r>
        <w:t xml:space="preserve">Tbody&gt;&gt;</w:t>
      </w:r>
    </w:p>
    <w:p>
      <w:pPr>
        <w:numPr>
          <w:ilvl w:val="0"/>
          <w:numId w:val="1000"/>
        </w:numPr>
      </w:pPr>
      <w:r>
        <w:t xml:space="preserve">&gt;</w:t>
      </w:r>
    </w:p>
    <w:p>
      <w:pPr>
        <w:numPr>
          <w:ilvl w:val="0"/>
          <w:numId w:val="1003"/>
        </w:numPr>
        <w:pStyle w:val="Compact"/>
      </w:pPr>
      <w:r>
        <w:t xml:space="preserve">Currency and Formatting: The use of the Ruble sign (₽) and European date formats (DD.MM.YYYY) requires flexible UI components that can adapt to local standards automatically.</w:t>
      </w:r>
    </w:p>
    <w:p>
      <w:pPr>
        <w:numPr>
          <w:ilvl w:val="0"/>
          <w:numId w:val="1003"/>
        </w:numPr>
        <w:pStyle w:val="Compact"/>
      </w:pPr>
      <w:r>
        <w:t xml:space="preserve">Internet Infrastructure Variance: While Moscow has excellent 5G/4G coverage, users may switch networks or experience latency. UIs must have robust offline states and loading skeletons that do not frustrate the user.</w:t>
      </w:r>
    </w:p>
    <w:p>
      <w:pPr>
        <w:numPr>
          <w:ilvl w:val="0"/>
          <w:numId w:val="1003"/>
        </w:numPr>
        <w:pStyle w:val="Compact"/>
      </w:pPr>
      <w:r>
        <w:t xml:space="preserve">Censorship and Localization: Designers must be aware of local content regulations, ensuring that imagery and text comply with regional laws while maintaining a global brand identity if applicable.</w:t>
      </w:r>
    </w:p>
    <w:p>
      <w:pPr>
        <w:pStyle w:val="FirstParagraph"/>
      </w:pPr>
      <w:r>
        <w:t xml:space="preserve">Tbody&gt;&gt;</w:t>
      </w:r>
    </w:p>
    <w:p>
      <w:pPr>
        <w:pStyle w:val="BodyText"/>
      </w:pPr>
      <w:r>
        <w:t xml:space="preserve">&gt;</w:t>
      </w:r>
    </w:p>
    <w:p>
      <w:pPr>
        <w:pStyle w:val="BodyText"/>
      </w:pPr>
      <w:r>
        <w:t xml:space="preserve">TBody&gt;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for the Moscow Market</dc:title>
  <dc:creator/>
  <dc:language>en</dc:language>
  <cp:keywords/>
  <dcterms:created xsi:type="dcterms:W3CDTF">2026-07-29T14:05:25Z</dcterms:created>
  <dcterms:modified xsi:type="dcterms:W3CDTF">2026-07-29T14:05:25Z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