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bookmarkStart w:id="29" w:name="X800b844881f145b8aad172c393bcbaaadf01355"/>
    <w:p>
      <w:pPr>
        <w:pStyle w:val="Heading1"/>
      </w:pPr>
      <w:r>
        <w:t xml:space="preserve">Laboratory Analysis Report: The Efficacy and Application of UX/UI Design Principles in the Singaporean Market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Singapore, Singapore</w:t>
      </w:r>
    </w:p>
    <w:p>
      <w:pPr>
        <w:pStyle w:val="BodyText"/>
      </w:pPr>
      <w:r>
        <w:rPr>
          <w:bCs/>
          <w:b/>
        </w:rPr>
        <w:t xml:space="preserve">District/Zone:</w:t>
      </w:r>
      <w:r>
        <w:t xml:space="preserve"> </w:t>
      </w:r>
      <w:r>
        <w:t xml:space="preserve">Marina Bay Financial Centre &amp; One-North Tech Hub</w:t>
      </w:r>
    </w:p>
    <w:p>
      <w:pPr>
        <w:pStyle w:val="BodyText"/>
      </w:pPr>
      <w:r>
        <w:rPr>
          <w:bCs/>
          <w:b/>
        </w:rPr>
        <w:t xml:space="preserve">Status:</w:t>
      </w:r>
      <w:r>
        <w:t xml:space="preserve">Preliminary Findings for Strategic Implementation</w:t>
      </w:r>
    </w:p>
    <w:bookmarkStart w:id="20" w:name="introduction-and-scope-of-investigation"/>
    <w:p>
      <w:pPr>
        <w:pStyle w:val="Heading2"/>
      </w:pPr>
      <w:r>
        <w:t xml:space="preserve">1. Introduction and Scope of Investigation</w:t>
      </w:r>
    </w:p>
    <w:p>
      <w:pPr>
        <w:pStyle w:val="FirstParagraph"/>
      </w:pPr>
      <w:r>
        <w:t xml:space="preserve">This document serves as a comprehensive laboratory report detailing the critical role, methodologies, and market demands associated with the profession of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. The scope of this investigation is strictly localized to the unique technological and cultural landscape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which acts as a premier global hub for fintech, digital banking, and smart nation initiatives. As</w:t>
      </w:r>
    </w:p>
    <w:p>
      <w:pPr>
        <w:pStyle w:val="BodyText"/>
      </w:pPr>
      <w:r>
        <w:t xml:space="preserve">Singapore Singapore continues to aggressively push its "Smart Nation" agenda, the intersection of human-centric design (UX) and interface precision (UI) has become not merely an aesthetic choice but a fundamental infrastructure requirement.</w:t>
      </w:r>
    </w:p>
    <w:p>
      <w:pPr>
        <w:pStyle w:val="BodyText"/>
      </w:pPr>
      <w:r>
        <w:t xml:space="preserve">The primary objective of this lab report is to analyze how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must adapt their workflow to meet the hyper-connected, multi-lingual, and efficiency-driven expectations of users within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 This report examines the variables of accessibility, cultural nuance, and regulatory compliance that define successful digital product deployment in this specific geographic jurisdiction.</w:t>
      </w:r>
    </w:p>
    <w:bookmarkEnd w:id="20"/>
    <w:bookmarkStart w:id="24" w:name="X5ccbe55e50cc28eaf29ee39be44cdcb5c151598"/>
    <w:p>
      <w:pPr>
        <w:pStyle w:val="Heading2"/>
      </w:pPr>
      <w:r>
        <w:t xml:space="preserve">2. Methodology: The Designer's Workflow as a Scientific Process</w:t>
      </w:r>
    </w:p>
    <w:p>
      <w:pPr>
        <w:pStyle w:val="FirstParagraph"/>
      </w:pPr>
      <w:r>
        <w:t xml:space="preserve">In treating the role of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as a variable in the economic engine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we observe that the design process mirrors scientific experimentation. It involves hypothesis generation, user testing, data collection, and iterative refinement. The following phases constitute the standard operating procedure for high-level design teams operating in this region:</w:t>
      </w:r>
    </w:p>
    <w:bookmarkStart w:id="21" w:name="X0d6f84b19b4b147a520ca0c45525c89e646dd46"/>
    <w:p>
      <w:pPr>
        <w:pStyle w:val="Heading3"/>
      </w:pPr>
      <w:r>
        <w:t xml:space="preserve">2.1 Phase I: Empathetic Discovery and Localized Research</w:t>
      </w:r>
    </w:p>
    <w:p>
      <w:pPr>
        <w:pStyle w:val="FirstParagraph"/>
      </w:pPr>
      <w:r>
        <w:t xml:space="preserve">The initial phase requires deep-dive ethnographic studies.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the demographic is highly diverse, comprising significant populations of Chinese, Malay, Indian, and Expat communities. A generic global UX strategy fails here.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must conduct localized user interviews to understand distinct digital literacy levels across these groups. For instance, while younger demographics in central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are digitally native, older demographics in HDB (Housing Development Board) estates require simplified interfaces with larger touch targets and clearer typography.</w:t>
      </w:r>
    </w:p>
    <w:bookmarkEnd w:id="21"/>
    <w:bookmarkStart w:id="22" w:name="X133adabe6071224c453821dabe82fde543ebcc3"/>
    <w:p>
      <w:pPr>
        <w:pStyle w:val="Heading3"/>
      </w:pPr>
      <w:r>
        <w:t xml:space="preserve">2.2 Phase II: Interface Architecture and Visual Synthesis</w:t>
      </w:r>
    </w:p>
    <w:p>
      <w:pPr>
        <w:pStyle w:val="FirstParagraph"/>
      </w:pPr>
      <w:r>
        <w:t xml:space="preserve">This phase involves the technical construction of the UI. In the context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where mobile usage rates exceed 90%, responsive design is not optional; it is mandatory.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must ensure that complex financial dashboards or government service portals render flawlessly on smaller screens. Furthermore, due to the high humidity and outdoor usage common in the tropical climate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, UI elements must maintain high contrast ratios to remain legible under direct sunlight.</w:t>
      </w:r>
    </w:p>
    <w:bookmarkEnd w:id="22"/>
    <w:bookmarkStart w:id="23" w:name="X760cb35597fcab3a130b60712c3db58f4e7539a"/>
    <w:p>
      <w:pPr>
        <w:pStyle w:val="Heading3"/>
      </w:pPr>
      <w:r>
        <w:t xml:space="preserve">2.3 Phase III: Usability Testing and A/B Variance Analysis</w:t>
      </w:r>
    </w:p>
    <w:p>
      <w:pPr>
        <w:pStyle w:val="FirstParagraph"/>
      </w:pPr>
      <w:r>
        <w:t xml:space="preserve">Data drives decision-making in the tech sector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utilizes analytics tools to track user drop-off rates. If a user abandons a checkout flow at step three, the designer must treat this as an experimental failure requiring immediate iteration. This data-driven approach is critical for businesses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that compete in a dense, fast-paced market where customer patience is low.</w:t>
      </w:r>
    </w:p>
    <w:bookmarkEnd w:id="23"/>
    <w:bookmarkEnd w:id="24"/>
    <w:bookmarkStart w:id="25" w:name="critical-variables-and-constraints"/>
    <w:p>
      <w:pPr>
        <w:pStyle w:val="Heading2"/>
      </w:pPr>
      <w:r>
        <w:t xml:space="preserve">3. Critical Variables and Constraints</w:t>
      </w:r>
    </w:p>
    <w:p>
      <w:pPr>
        <w:pStyle w:val="FirstParagraph"/>
      </w:pPr>
      <w:r>
        <w:t xml:space="preserve">The environment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presents specific constraints that shape the output of any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. These variables must be accounted for in every design sprint.</w:t>
      </w:r>
    </w:p>
    <w:p>
      <w:pPr>
        <w:pStyle w:val="BodyText"/>
      </w:pPr>
      <w:r>
        <w:t xml:space="preserve">Variable Factor</w:t>
      </w:r>
    </w:p>
    <w:p>
      <w:pPr>
        <w:pStyle w:val="BodyText"/>
      </w:pPr>
      <w:r>
        <w:t xml:space="preserve">Impact on UX UI Design</w:t>
      </w:r>
    </w:p>
    <w:p>
      <w:pPr>
        <w:pStyle w:val="BodyText"/>
      </w:pPr>
      <w:r>
        <w:rPr>
          <w:bCs/>
          <w:b/>
        </w:rPr>
        <w:t xml:space="preserve">Singapore Singapore Context</w:t>
      </w:r>
    </w:p>
    <w:p>
      <w:pPr>
        <w:pStyle w:val="BodyText"/>
      </w:pPr>
      <w:r>
        <w:t xml:space="preserve">Linguistic Diversity</w:t>
      </w:r>
    </w:p>
    <w:p>
      <w:pPr>
        <w:pStyle w:val="BodyText"/>
      </w:pPr>
      <w:r>
        <w:t xml:space="preserve">Multilingual interfaces required (English, Mandarin, Malay, Tamil)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Singapore English (Singlish) nuances affect micro-copy tone.</w:t>
      </w:r>
    </w:p>
    <w:p>
      <w:pPr>
        <w:pStyle w:val="BodyText"/>
      </w:pPr>
      <w:r>
        <w:t xml:space="preserve">Regulatory Compliance</w:t>
      </w:r>
    </w:p>
    <w:p>
      <w:pPr>
        <w:pStyle w:val="BodyText"/>
      </w:pPr>
      <w:r>
        <w:t xml:space="preserve">Singapore Singapore adheres to strict Personal Data Protection Act (PDPA).</w:t>
      </w:r>
    </w:p>
    <w:p>
      <w:pPr>
        <w:pStyle w:val="BodyText"/>
      </w:pPr>
      <w:r>
        <w:t xml:space="preserve">UI must prominently feature consent banners and secure authentication flows.</w:t>
      </w:r>
    </w:p>
    <w:p>
      <w:pPr>
        <w:pStyle w:val="BodyText"/>
      </w:pPr>
      <w:r>
        <w:t xml:space="preserve">Cultural Sensitivity</w:t>
      </w:r>
    </w:p>
    <w:p>
      <w:pPr>
        <w:pStyle w:val="BodyText"/>
      </w:pPr>
      <w:r>
        <w:t xml:space="preserve">Singapore Singapore is a multicultural hub. Design must avoid cultural taboos in color symbolism or imagery.</w:t>
      </w:r>
    </w:p>
    <w:p>
      <w:pPr>
        <w:pStyle w:val="BodyText"/>
      </w:pPr>
      <w:r>
        <w:t xml:space="preserve">For example, red and white have specific connotations that must be navigated carefully in financial branding.</w:t>
      </w:r>
    </w:p>
    <w:p>
      <w:pPr>
        <w:pStyle w:val="BodyText"/>
      </w:pPr>
      <w:r>
        <w:t xml:space="preserve">Digital Infrastructure</w:t>
      </w:r>
    </w:p>
    <w:p>
      <w:pPr>
        <w:pStyle w:val="BodyText"/>
      </w:pPr>
      <w:r>
        <w:t xml:space="preserve">Singapore Singapore has some of the world's fastest internet speeds.</w:t>
      </w:r>
    </w:p>
    <w:p>
      <w:pPr>
        <w:pStyle w:val="BodyText"/>
      </w:pPr>
      <w:r>
        <w:t xml:space="preserve">This allows for heavy, animation-rich UIs that would lag elsewhere, enhancing user engagement.</w:t>
      </w:r>
    </w:p>
    <w:bookmarkEnd w:id="25"/>
    <w:bookmarkStart w:id="28" w:name="X5bc953a2fb5c26894d329fb97db3b0d8537656c"/>
    <w:p>
      <w:pPr>
        <w:pStyle w:val="Heading2"/>
      </w:pPr>
      <w:r>
        <w:t xml:space="preserve">4. Case Study: Digital Banking Application in Singapore</w:t>
      </w:r>
    </w:p>
    <w:p>
      <w:pPr>
        <w:pStyle w:val="FirstParagraph"/>
      </w:pPr>
      <w:r>
        <w:t xml:space="preserve">To illustrate the practical application of this lab report's findings, we examine a hypothetical project: the redesign of a neobank app specifically for users in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. The lead</w:t>
      </w:r>
    </w:p>
    <w:p>
      <w:pPr>
        <w:pStyle w:val="BodyText"/>
      </w:pPr>
      <w:r>
        <w:t xml:space="preserve">UX UI Designer was tasked with increasing adoption among the aging population while retaining appeal for tech-savvy youth.</w:t>
      </w:r>
    </w:p>
    <w:p>
      <w:pPr>
        <w:pStyle w:val="BodyText"/>
      </w:pPr>
      <w:r>
        <w:t xml:space="preserve">The Problem:</w:t>
      </w:r>
    </w:p>
    <w:p>
      <w:pPr>
        <w:pStyle w:val="BodyText"/>
      </w:pPr>
      <w:r>
        <w:t xml:space="preserve">The previous interface was cluttered, using dense data tables that intimidated non-technical users. Conversion rates in suburban areas of</w:t>
      </w:r>
      <w:r>
        <w:t xml:space="preserve"> </w:t>
      </w:r>
      <w:r>
        <w:rPr>
          <w:bCs/>
          <w:b/>
        </w:rPr>
        <w:t xml:space="preserve">Singapore Singapore</w:t>
      </w:r>
      <w:r>
        <w:t xml:space="preserve"> </w:t>
      </w:r>
      <w:r>
        <w:t xml:space="preserve">were significantly lower than in the central business district.</w:t>
      </w:r>
    </w:p>
    <w:p>
      <w:pPr>
        <w:pStyle w:val="BodyText"/>
      </w:pPr>
      <w:r>
        <w:t xml:space="preserve">The UX/UI Intervention: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Simplified Navigation:UX UI Designer</w:t>
      </w:r>
      <w:r>
        <w:t xml:space="preserve"> </w:t>
      </w:r>
      <w:r>
        <w:t xml:space="preserve">removed secondary options from the home screen, prioritizing "Send Money" and "Check Balance."</w:t>
      </w:r>
    </w:p>
    <w:p>
      <w:pPr>
        <w:numPr>
          <w:ilvl w:val="0"/>
          <w:numId w:val="1000"/>
        </w:numPr>
      </w:pPr>
      <w:r>
        <w:t xml:space="preserve">.</w:t>
      </w:r>
    </w:p>
    <w:p>
      <w:pPr>
        <w:numPr>
          <w:ilvl w:val="1"/>
          <w:numId w:val="1002"/>
        </w:numPr>
        <w:pStyle w:val="Compact"/>
      </w:pPr>
      <w:r>
        <w:rPr>
          <w:bCs/>
          <w:b/>
        </w:rPr>
        <w:t xml:space="preserve">Cultural Localization:Singapore Singapore</w:t>
      </w:r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Accessibility Enhancements:</w:t>
      </w:r>
    </w:p>
    <w:p>
      <w:pPr>
        <w:numPr>
          <w:ilvl w:val="1"/>
          <w:numId w:val="1000"/>
        </w:numPr>
        <w:pStyle w:val="Compact"/>
      </w:pPr>
      <w:r>
        <w:t xml:space="preserve">: High-contrast modes were introduced, recognizing that many users in this region use their devices outdoors for transit payments via SimplyGo or PayNow.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The Result:Singapore Singapore</w:t>
      </w:r>
      <w:r>
        <w:t xml:space="preserve"> </w:t>
      </w:r>
      <w:r>
        <w:t xml:space="preserve">market showed a 45% reduction in support tickets related to navigation confusion and a 20% increase in user retention among the 50+ demographic.</w:t>
      </w:r>
    </w:p>
    <w:p>
      <w:pPr>
        <w:numPr>
          <w:ilvl w:val="0"/>
          <w:numId w:val="1000"/>
        </w:numPr>
        <w:pStyle w:val="Heading2"/>
      </w:pPr>
      <w:bookmarkStart w:id="26" w:name="discussion-the-strategic-value-of-uxui"/>
      <w:r>
        <w:t xml:space="preserve">5. Discussion: The Strategic Value of UX/UI</w:t>
      </w:r>
      <w:bookmarkEnd w:id="26"/>
    </w:p>
    <w:p>
      <w:pPr>
        <w:numPr>
          <w:ilvl w:val="0"/>
          <w:numId w:val="1000"/>
        </w:numPr>
      </w:pPr>
      <w:r>
        <w:t xml:space="preserve">The analysis confirms that the role of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Singapore Singapore, where digital alternatives are abundant, user experience becomes the primary differentiator. Companies that invest in rigorous UX research and high-fidelity UI design see higher customer lifetime values.</w:t>
      </w:r>
    </w:p>
    <w:p>
      <w:pPr>
        <w:numPr>
          <w:ilvl w:val="0"/>
          <w:numId w:val="1000"/>
        </w:numPr>
      </w:pPr>
      <w:r>
        <w:t xml:space="preserve">Furthermore, as</w:t>
      </w:r>
      <w:r>
        <w:t xml:space="preserve"> </w:t>
      </w:r>
      <w:r>
        <w:rPr>
          <w:bCs/>
          <w:b/>
        </w:rPr>
        <w:t xml:space="preserve">Singapore SingaporeUX UI Designer</w:t>
      </w:r>
    </w:p>
    <w:p>
      <w:pPr>
        <w:numPr>
          <w:ilvl w:val="0"/>
          <w:numId w:val="1000"/>
        </w:numPr>
        <w:pStyle w:val="Heading2"/>
      </w:pPr>
      <w:bookmarkStart w:id="27" w:name="conclusion-and-recommendations"/>
      <w:r>
        <w:t xml:space="preserve">6. Conclusion and Recommendations</w:t>
      </w:r>
      <w:bookmarkEnd w:id="27"/>
    </w:p>
    <w:p>
      <w:pPr>
        <w:numPr>
          <w:ilvl w:val="0"/>
          <w:numId w:val="1000"/>
        </w:numPr>
      </w:pPr>
      <w:r>
        <w:t xml:space="preserve">This laboratory report establishes that the effectiveness of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Singapore Singapore, generic design templates are insufficient.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Recommendations for Stakeholders:</w:t>
      </w:r>
    </w:p>
    <w:p>
      <w:pPr>
        <w:numPr>
          <w:ilvl w:val="0"/>
          <w:numId w:val="1001"/>
        </w:numPr>
        <w:pStyle w:val="Compact"/>
      </w:pPr>
      <w:r>
        <w:t xml:space="preserve">Hire Locally Informed Talent:Singapore Singapore.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Prioritize Mobile-First:</w:t>
      </w:r>
    </w:p>
    <w:p>
      <w:pPr>
        <w:numPr>
          <w:ilvl w:val="0"/>
          <w:numId w:val="1000"/>
        </w:numPr>
        <w:pStyle w:val="Compact"/>
      </w:pPr>
      <w:r>
        <w:t xml:space="preserve">: Ensure all design protocols begin with mobile constraints, reflecting the primary mode of internet access in this region.</w:t>
      </w:r>
    </w:p>
    <w:p>
      <w:pPr>
        <w:numPr>
          <w:ilvl w:val="0"/>
          <w:numId w:val="1003"/>
        </w:numPr>
        <w:pStyle w:val="Compact"/>
      </w:pPr>
      <w:r>
        <w:t xml:space="preserve">Invest in Continuous Testing:</w:t>
      </w:r>
    </w:p>
    <w:p>
      <w:pPr>
        <w:numPr>
          <w:ilvl w:val="0"/>
          <w:numId w:val="1000"/>
        </w:numPr>
        <w:pStyle w:val="Compact"/>
      </w:pPr>
      <w:r>
        <w:t xml:space="preserve">: Treat user testing as an ongoing scientific process rather than a one-time launch event.</w:t>
      </w:r>
    </w:p>
    <w:p>
      <w:pPr>
        <w:pStyle w:val="FirstParagraph"/>
      </w:pPr>
      <w:r>
        <w:t xml:space="preserve">In conclusion, the synergy between expert design execution and local market understanding is the key to digital success.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, acting as the bridge between technology and humanity, plays a pivotal role in shaping the digital future of</w:t>
      </w:r>
      <w:r>
        <w:t xml:space="preserve"> </w:t>
      </w:r>
      <w:r>
        <w:rPr>
          <w:bCs/>
          <w:b/>
        </w:rPr>
        <w:t xml:space="preserve">Singapore Singapore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Lab Report Document.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UX/UI Design in Singapore</dc:title>
  <dc:creator/>
  <dc:language>en</dc:language>
  <cp:keywords/>
  <dcterms:created xsi:type="dcterms:W3CDTF">2026-07-29T20:32:23Z</dcterms:created>
  <dcterms:modified xsi:type="dcterms:W3CDTF">2026-07-29T20:32:23Z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