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Laboratory</w:t>
      </w:r>
      <w:r>
        <w:t xml:space="preserve"> </w:t>
      </w:r>
      <w:r>
        <w:t xml:space="preserve">Report:</w:t>
      </w:r>
      <w:r>
        <w:t xml:space="preserve"> </w:t>
      </w:r>
      <w:r>
        <w:t xml:space="preserve">Diagnostic</w:t>
      </w:r>
      <w:r>
        <w:t xml:space="preserve"> </w:t>
      </w:r>
      <w:r>
        <w:t xml:space="preserve">Analysis</w:t>
      </w:r>
      <w:r>
        <w:t xml:space="preserve"> </w:t>
      </w:r>
      <w:r>
        <w:t xml:space="preserve">in</w:t>
      </w:r>
      <w:r>
        <w:t xml:space="preserve"> </w:t>
      </w:r>
      <w:r>
        <w:t xml:space="preserve">Australia</w:t>
      </w:r>
      <w:r>
        <w:t xml:space="preserve"> </w:t>
      </w:r>
      <w:r>
        <w:t xml:space="preserve">Melbourne</w:t>
      </w:r>
    </w:p>
    <w:bookmarkStart w:id="20" w:name="veterinary-laboratory-report"/>
    <w:p>
      <w:pPr>
        <w:pStyle w:val="Heading1"/>
      </w:pPr>
      <w:r>
        <w:t xml:space="preserve">Veterinary Laboratory Report</w:t>
      </w:r>
    </w:p>
    <w:p>
      <w:pPr>
        <w:pStyle w:val="FirstParagraph"/>
      </w:pPr>
      <w:r>
        <w:rPr>
          <w:bCs/>
          <w:b/>
        </w:rPr>
        <w:t xml:space="preserve">Date:</w:t>
      </w:r>
      <w:r>
        <w:t xml:space="preserve"> </w:t>
      </w:r>
      <w:r>
        <w:t xml:space="preserve">October 24, 2023</w:t>
      </w:r>
      <w:r>
        <w:br/>
      </w:r>
      <w:r>
        <w:rPr>
          <w:bCs/>
          <w:b/>
        </w:rPr>
        <w:t xml:space="preserve">Facility:</w:t>
      </w:r>
      <w:r>
        <w:t xml:space="preserve"> </w:t>
      </w:r>
      <w:r>
        <w:t xml:space="preserve">Melbourne Diagnostic Veterinary Services</w:t>
      </w:r>
      <w:r>
        <w:br/>
      </w:r>
      <w:r>
        <w:rPr>
          <w:bCs/>
          <w:b/>
        </w:rPr>
        <w:t xml:space="preserve">Location:</w:t>
      </w:r>
      <w:r>
        <w:t xml:space="preserve"> </w:t>
      </w:r>
      <w:r>
        <w:t xml:space="preserve">Australia Melbourne</w:t>
      </w:r>
      <w:r>
        <w:br/>
      </w:r>
    </w:p>
    <w:p>
      <w:pPr>
        <w:pStyle w:val="BodyText"/>
      </w:pPr>
      <w:r>
        <w:t xml:space="preserve">Patient ID:#MV-8892-AU</w:t>
      </w:r>
    </w:p>
    <w:bookmarkEnd w:id="20"/>
    <w:bookmarkStart w:id="21" w:name="executive-summary"/>
    <w:p>
      <w:pPr>
        <w:pStyle w:val="Heading2"/>
      </w:pPr>
      <w:r>
        <w:t xml:space="preserve">1. Executive Summary</w:t>
      </w:r>
    </w:p>
    <w:p>
      <w:pPr>
        <w:pStyle w:val="FirstParagraph"/>
      </w:pPr>
      <w:r>
        <w:t xml:space="preserve">This document serves as a comprehensive Laboratory Report detailing the diagnostic procedures, clinical findings, and pathological assessments conducted for a case study involving small animal medicine in Australia Melbourne. The primary objective of this report is to illustrate the rigorous standards maintained by veterinary laboratories operating within the unique environmental context of Australia Melbourne. As one of the most biodiverse yet ecologically fragile regions in Australia Melbourne, local veterinary practices face distinct challenges regarding zoonotic diseases, parasite prevalence, and thermal stress conditions affecting domestic animals. This report analyzes a case of acute renal failure in a canine patient to demonstrate how laboratory diagnostics are tailored to address these specific regional health concerns.</w:t>
      </w:r>
    </w:p>
    <w:bookmarkEnd w:id="21"/>
    <w:bookmarkStart w:id="22" w:name="introduction-and-contextual-background"/>
    <w:p>
      <w:pPr>
        <w:pStyle w:val="Heading2"/>
      </w:pPr>
      <w:r>
        <w:t xml:space="preserve">2. Introduction and Contextual Background</w:t>
      </w:r>
    </w:p>
    <w:p>
      <w:pPr>
        <w:pStyle w:val="FirstParagraph"/>
      </w:pPr>
      <w:r>
        <w:t xml:space="preserve">The role of the Laboratory Report extends beyond mere data transcription; it is a critical tool for clinical decision-making in the vibrant veterinary community of Australia Melbourne. In this region, veterinarians must navigate a complex landscape that includes high rates of tick-borne illnesses due to humid subtropical climates and specific toxic plant exposures native to Victoria. The laboratory report acts as the bridge between raw biological data and actionable medical intervention.</w:t>
      </w:r>
    </w:p>
    <w:p>
      <w:pPr>
        <w:pStyle w:val="BodyText"/>
      </w:pPr>
      <w:r>
        <w:t xml:space="preserve">In Australia Melbourne, the integration of advanced diagnostic technology with local epidemiological data is paramount. This section outlines how our laboratory adheres to the standards set by Australian Veterinary Associations while addressing the specific health profiles typical for pets residing in Australia Melbourne. The specificity of this Laboratory Report ensures that treating veterinarians can distinguish between common ailments and rare conditions prevalent in the local fauna.</w:t>
      </w:r>
    </w:p>
    <w:bookmarkEnd w:id="22"/>
    <w:bookmarkStart w:id="23" w:name="case-presentation"/>
    <w:p>
      <w:pPr>
        <w:pStyle w:val="Heading2"/>
      </w:pPr>
      <w:r>
        <w:t xml:space="preserve">3. Case Presentation</w:t>
      </w:r>
    </w:p>
    <w:p>
      <w:pPr>
        <w:pStyle w:val="FirstParagraph"/>
      </w:pPr>
      <w:r>
        <w:rPr>
          <w:bCs/>
          <w:b/>
        </w:rPr>
        <w:t xml:space="preserve">Patient Species:</w:t>
      </w:r>
      <w:r>
        <w:t xml:space="preserve"> </w:t>
      </w:r>
      <w:r>
        <w:t xml:space="preserve">Canine (Golden Retriever)</w:t>
      </w:r>
      <w:r>
        <w:br/>
      </w:r>
      <w:r>
        <w:rPr>
          <w:bCs/>
          <w:b/>
        </w:rPr>
        <w:t xml:space="preserve">Breed/Origin:</w:t>
      </w:r>
      <w:r>
        <w:t xml:space="preserve"> </w:t>
      </w:r>
      <w:r>
        <w:t xml:space="preserve">Domestic, residing in the suburbs of Australia Melbourne</w:t>
      </w:r>
      <w:r>
        <w:br/>
      </w:r>
      <w:r>
        <w:rPr>
          <w:bCs/>
          <w:b/>
        </w:rPr>
        <w:t xml:space="preserve">Clinical Signs:</w:t>
      </w:r>
      <w:r>
        <w:t xml:space="preserve"> </w:t>
      </w:r>
      <w:r>
        <w:t xml:space="preserve">Lethargy, polyuria, polydipsia (PU/PD), vomiting, and acute onset of anorexia.</w:t>
      </w:r>
      <w:r>
        <w:br/>
      </w:r>
      <w:r>
        <w:rPr>
          <w:bCs/>
          <w:b/>
        </w:rPr>
        <w:t xml:space="preserve">History:</w:t>
      </w:r>
      <w:r>
        <w:t xml:space="preserve"> </w:t>
      </w:r>
      <w:r>
        <w:t xml:space="preserve">The owner reported that the dog had been observed chewing on foliage in a local park in Australia Melbourne three days prior to admission. No recent vaccinations or flea/tick preventative treatments were administered during the summer season.</w:t>
      </w:r>
    </w:p>
    <w:bookmarkEnd w:id="23"/>
    <w:bookmarkStart w:id="24" w:name="laboratory-methodology"/>
    <w:p>
      <w:pPr>
        <w:pStyle w:val="Heading2"/>
      </w:pPr>
      <w:r>
        <w:t xml:space="preserve">4. Laboratory Methodology</w:t>
      </w:r>
    </w:p>
    <w:p>
      <w:pPr>
        <w:pStyle w:val="FirstParagraph"/>
      </w:pPr>
      <w:r>
        <w:t xml:space="preserve">To ensure the accuracy of this Laboratory Report, a multi-modal diagnostic approach was employed. The laboratory protocols in Australia Melbourne emphasize rapid turnaround times due to the critical nature of acute presentations. The following tests were commissioned:</w:t>
      </w:r>
    </w:p>
    <w:p>
      <w:pPr>
        <w:numPr>
          <w:ilvl w:val="0"/>
          <w:numId w:val="1001"/>
        </w:numPr>
        <w:pStyle w:val="Compact"/>
      </w:pPr>
      <w:r>
        <w:rPr>
          <w:bCs/>
          <w:b/>
        </w:rPr>
        <w:t xml:space="preserve">Hematology:</w:t>
      </w:r>
      <w:r>
        <w:t xml:space="preserve"> </w:t>
      </w:r>
      <w:r>
        <w:t xml:space="preserve">Complete Blood Count (CBC) using an automated analyzer calibrated for canine parameters.</w:t>
      </w:r>
    </w:p>
    <w:p>
      <w:pPr>
        <w:numPr>
          <w:ilvl w:val="0"/>
          <w:numId w:val="1001"/>
        </w:numPr>
        <w:pStyle w:val="Compact"/>
      </w:pPr>
      <w:r>
        <w:rPr>
          <w:bCs/>
          <w:b/>
        </w:rPr>
        <w:t xml:space="preserve">Biochemistry Panel:</w:t>
      </w:r>
      <w:r>
        <w:t xml:space="preserve"> </w:t>
      </w:r>
      <w:r>
        <w:t xml:space="preserve">Comprehensive metabolic profile including kidney values (BUN, Creatinine), liver enzymes, and electrolytes.</w:t>
      </w:r>
    </w:p>
    <w:p>
      <w:pPr>
        <w:numPr>
          <w:ilvl w:val="0"/>
          <w:numId w:val="1001"/>
        </w:numPr>
        <w:pStyle w:val="Compact"/>
      </w:pPr>
      <w:r>
        <w:rPr>
          <w:bCs/>
          <w:b/>
        </w:rPr>
        <w:t xml:space="preserve">Toxicology Screen:</w:t>
      </w:r>
      <w:r>
        <w:t xml:space="preserve"> </w:t>
      </w:r>
      <w:r>
        <w:t xml:space="preserve">Specifically screened for local plant toxins known to be hazardous in the Australia Melbourne region, such as *Cycas* species and *Lily* varieties.</w:t>
      </w:r>
    </w:p>
    <w:p>
      <w:pPr>
        <w:numPr>
          <w:ilvl w:val="0"/>
          <w:numId w:val="1001"/>
        </w:numPr>
        <w:pStyle w:val="Compact"/>
      </w:pPr>
      <w:r>
        <w:rPr>
          <w:bCs/>
          <w:b/>
        </w:rPr>
        <w:t xml:space="preserve">Urinalysis:</w:t>
      </w:r>
      <w:r>
        <w:t xml:space="preserve"> </w:t>
      </w:r>
      <w:r>
        <w:t xml:space="preserve">Specific gravity measurement and sediment examination to assess renal concentrating ability.</w:t>
      </w:r>
    </w:p>
    <w:p>
      <w:pPr>
        <w:pStyle w:val="FirstParagraph"/>
      </w:pPr>
      <w:r>
        <w:t xml:space="preserve">The laboratory facility located in Australia Melbourne utilizes real-time quality control measures to ensure that all data presented in this report meets national accreditation standards. This ensures that veterinarians can trust the Laboratory Report for immediate clinical action.</w:t>
      </w:r>
    </w:p>
    <w:bookmarkEnd w:id="24"/>
    <w:bookmarkStart w:id="25" w:name="results-and-data-analysis"/>
    <w:p>
      <w:pPr>
        <w:pStyle w:val="Heading2"/>
      </w:pPr>
      <w:r>
        <w:t xml:space="preserve">5. Results and Data Analysis</w:t>
      </w:r>
    </w:p>
    <w:p>
      <w:pPr>
        <w:pStyle w:val="FirstParagraph"/>
      </w:pPr>
      <w:r>
        <w:t xml:space="preserve">Metric</w:t>
      </w:r>
    </w:p>
    <w:bookmarkEnd w:id="25"/>
    <w:p>
      <w:pPr>
        <w:pStyle w:val="BodyText"/>
      </w:pPr>
      <w:r>
        <w:t xml:space="preserve">Patient Result</w:t>
      </w:r>
    </w:p>
    <w:p>
      <w:pPr>
        <w:pStyle w:val="BodyText"/>
      </w:pPr>
      <w:r>
        <w:t xml:space="preserve">Australia Melbourne Reference Range*</w:t>
      </w:r>
    </w:p>
    <w:p>
      <w:pPr>
        <w:pStyle w:val="BodyText"/>
      </w:pPr>
      <w:r>
        <w:t xml:space="preserve">BUN (Urea)</w:t>
      </w:r>
    </w:p>
    <w:p>
      <w:pPr>
        <w:pStyle w:val="BodyText"/>
      </w:pPr>
      <w:r>
        <w:t xml:space="preserve">28.5 mmol/L</w:t>
      </w:r>
    </w:p>
    <w:p>
      <w:pPr>
        <w:pStyle w:val="BodyText"/>
      </w:pPr>
      <w:r>
        <w:t xml:space="preserve">3.6 - 10.7 mmol/L</w:t>
      </w:r>
    </w:p>
    <w:p>
      <w:pPr>
        <w:pStyle w:val="BodyText"/>
      </w:pPr>
      <w:r>
        <w:t xml:space="preserve">Metric</w:t>
      </w:r>
    </w:p>
    <w:p>
      <w:pPr>
        <w:pStyle w:val="BodyText"/>
      </w:pPr>
      <w:r>
        <w:t xml:space="preserve">Patient Result</w:t>
      </w:r>
    </w:p>
    <w:p>
      <w:pPr>
        <w:pStyle w:val="BodyText"/>
      </w:pPr>
      <w:r>
        <w:t xml:space="preserve">Australia Melbourne Reference Range*</w:t>
      </w:r>
    </w:p>
    <w:p>
      <w:pPr>
        <w:pStyle w:val="BodyText"/>
      </w:pPr>
      <w:r>
        <w:t xml:space="preserve">Creatinine</w:t>
      </w:r>
    </w:p>
    <w:p>
      <w:pPr>
        <w:pStyle w:val="BodyText"/>
      </w:pPr>
      <w:r>
        <w:t xml:space="preserve">380 µmol/L</w:t>
      </w:r>
    </w:p>
    <w:p>
      <w:pPr>
        <w:pStyle w:val="BodyText"/>
      </w:pPr>
      <w:r>
        <w:t xml:space="preserve">45 - 125 µmol/L</w:t>
      </w:r>
    </w:p>
    <w:p>
      <w:pPr>
        <w:pStyle w:val="BodyText"/>
      </w:pPr>
      <w:r>
        <w:t xml:space="preserve">Metric</w:t>
      </w:r>
    </w:p>
    <w:p>
      <w:pPr>
        <w:pStyle w:val="BodyText"/>
      </w:pPr>
      <w:r>
        <w:t xml:space="preserve">Patient Result</w:t>
      </w:r>
    </w:p>
    <w:p>
      <w:pPr>
        <w:pStyle w:val="BodyText"/>
      </w:pPr>
      <w:r>
        <w:t xml:space="preserve">Australia Melbourne Reference Range*</w:t>
      </w:r>
    </w:p>
    <w:p>
      <w:pPr>
        <w:pStyle w:val="BodyText"/>
      </w:pPr>
      <w:r>
        <w:t xml:space="preserve">Sodium/Potassium Ratio</w:t>
      </w:r>
    </w:p>
    <w:p>
      <w:pPr>
        <w:pStyle w:val="BodyText"/>
      </w:pPr>
      <w:r>
        <w:t xml:space="preserve">2.8:1 (Low)</w:t>
      </w:r>
    </w:p>
    <w:p>
      <w:pPr>
        <w:pStyle w:val="BodyText"/>
      </w:pPr>
      <w:r>
        <w:t xml:space="preserve">~30:1</w:t>
      </w:r>
    </w:p>
    <w:p>
      <w:pPr>
        <w:pStyle w:val="BodyText"/>
      </w:pPr>
      <w:r>
        <w:t xml:space="preserve">Metric</w:t>
      </w:r>
    </w:p>
    <w:p>
      <w:pPr>
        <w:pStyle w:val="BodyText"/>
      </w:pPr>
      <w:r>
        <w:t xml:space="preserve">Patient Result</w:t>
      </w:r>
    </w:p>
    <w:p>
      <w:pPr>
        <w:pStyle w:val="BodyText"/>
      </w:pPr>
      <w:r>
        <w:br/>
      </w:r>
      <w:r>
        <w:t xml:space="preserve">White Blood Cell Count</w:t>
      </w:r>
      <w:r>
        <w:br/>
      </w:r>
      <w:r>
        <w:t xml:space="preserve">Neutrophilia with a left shift was noted, indicating significant inflammation. Lymphopenia was observed, likely secondary to stress or viral suppression.</w:t>
      </w:r>
      <w:r>
        <w:br/>
      </w:r>
      <w:r>
        <w:br/>
      </w:r>
    </w:p>
    <w:p>
      <w:pPr>
        <w:pStyle w:val="BodyText"/>
      </w:pPr>
      <w:r>
        <w:t xml:space="preserve">*Note: Reference ranges are adjusted for the local population statistics in Australia Melbourne to account for environmental and genetic factors.</w:t>
      </w:r>
    </w:p>
    <w:bookmarkStart w:id="26" w:name="discussion"/>
    <w:p>
      <w:pPr>
        <w:pStyle w:val="Heading2"/>
      </w:pPr>
      <w:r>
        <w:t xml:space="preserve">6. Discussion</w:t>
      </w:r>
    </w:p>
    <w:p>
      <w:pPr>
        <w:pStyle w:val="FirstParagraph"/>
      </w:pPr>
      <w:r>
        <w:t xml:space="preserve">The findings presented in this Laboratory Report indicate severe acute renal failure with a concurrent electrolyte imbalance. The elevated BUN and Creatinine levels suggest that the kidneys have lost approximately 75% of their functional capacity. In the context of Australia Melbourne, this presentation raises suspicion for toxic ingestion, particularly given the seasonal prevalence of *Cycas revoluta* (Sago Palm) poisoning in suburban parks across Australia Melbourne.</w:t>
      </w:r>
    </w:p>
    <w:p>
      <w:pPr>
        <w:pStyle w:val="BodyText"/>
      </w:pPr>
      <w:r>
        <w:t xml:space="preserve">The low sodium/potassium ratio is a critical finding often associated with Addison’s disease or severe gastrointestinal loss, but in conjunction with the renal values, it points toward a complex metabolic disturbance. The Laboratory Report highlights that while common causes such as infection were considered, the specific toxicological screen for local flora provided decisive evidence. This underscores the necessity of tailoring laboratory diagnostics to the geographic location. In Australia Melbourne, veterinarians must maintain a high index of suspicion for plant-based toxins due to the prevalence of these species in urban landscaping.</w:t>
      </w:r>
    </w:p>
    <w:p>
      <w:pPr>
        <w:pStyle w:val="BodyText"/>
      </w:pPr>
      <w:r>
        <w:t xml:space="preserve">Furthermore, this Laboratory Report discusses the importance of hydration status. The environment in Australia Melbourne can fluctuate rapidly between cool coastal breezes and intense inland heatwaves. Dehydration can exacerbate renal issues, making the accurate interpretation of urine specific gravity vital for prognosis.</w:t>
      </w:r>
    </w:p>
    <w:bookmarkEnd w:id="26"/>
    <w:bookmarkStart w:id="27" w:name="conclusion-and-recommendations"/>
    <w:p>
      <w:pPr>
        <w:pStyle w:val="Heading2"/>
      </w:pPr>
      <w:r>
        <w:t xml:space="preserve">7. Conclusion and Recommendations</w:t>
      </w:r>
    </w:p>
    <w:p>
      <w:pPr>
        <w:pStyle w:val="FirstParagraph"/>
      </w:pPr>
      <w:r>
        <w:t xml:space="preserve">This Laboratory Report confirms a diagnosis of Acute Kidney Injury (AKI) likely secondary to toxic ingestion prevalent in Australia Melbourne. The data collected through our specialized testing protocols allows for a targeted treatment plan involving aggressive intravenous fluid therapy, gastrointestinal protectants, and continuous monitoring of electrolyte levels.</w:t>
      </w:r>
    </w:p>
    <w:p>
      <w:pPr>
        <w:pStyle w:val="BodyText"/>
      </w:pPr>
      <w:r>
        <w:t xml:space="preserve">It is recommended that the owner be educated on avoiding native cycads in gardens near Australia Melbourne households. This case exemplifies how a detailed Laboratory Report serves not only as a medical record but also as an educational tool for preventative care in the specific ecological niche of Australia Melbourne. Continued follow-up testing will be required to monitor renal recovery, emphasizing the dynamic nature of veterinary medicine.</w:t>
      </w:r>
    </w:p>
    <w:p>
      <w:pPr>
        <w:pStyle w:val="BodyText"/>
      </w:pPr>
      <w:r>
        <w:t xml:space="preserve">The integration of precise laboratory data with regional health insights remains the cornerstone of effective veterinary practice in Australia Melbourne. This report stands as a testament to our commitment to excellence, accuracy, and localized care.</w:t>
      </w:r>
    </w:p>
    <w:bookmarkEnd w:id="27"/>
    <w:bookmarkStart w:id="28" w:name="sign-off"/>
    <w:p>
      <w:pPr>
        <w:pStyle w:val="Heading2"/>
      </w:pPr>
      <w:r>
        <w:t xml:space="preserve">8. Sign-off</w:t>
      </w:r>
    </w:p>
    <w:p>
      <w:pPr>
        <w:pStyle w:val="FirstParagraph"/>
      </w:pPr>
      <w:r>
        <w:rPr>
          <w:bCs/>
          <w:b/>
        </w:rPr>
        <w:t xml:space="preserve">Signed:</w:t>
      </w:r>
      <w:r>
        <w:br/>
      </w:r>
      <w:r>
        <w:t xml:space="preserve">Dr. Sarah Jenkins</w:t>
      </w:r>
      <w:r>
        <w:br/>
      </w:r>
      <w:r>
        <w:t xml:space="preserve">Chief Pathologist</w:t>
      </w:r>
      <w:r>
        <w:br/>
      </w:r>
      <w:r>
        <w:t xml:space="preserve">Melbourne Diagnostic Veterinary Services</w:t>
      </w:r>
      <w:r>
        <w:br/>
      </w:r>
      <w:r>
        <w:t xml:space="preserve">Australia Melbourne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Laboratory Report: Diagnostic Analysis in Australia Melbourne</dc:title>
  <dc:creator/>
  <dc:language>en</dc:language>
  <cp:keywords/>
  <dcterms:created xsi:type="dcterms:W3CDTF">2026-07-29T19:02:30Z</dcterms:created>
  <dcterms:modified xsi:type="dcterms:W3CDTF">2026-07-29T19:02:30Z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