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of</w:t>
      </w:r>
      <w:r>
        <w:t xml:space="preserve"> </w:t>
      </w:r>
      <w:r>
        <w:t xml:space="preserve">Canine</w:t>
      </w:r>
      <w:r>
        <w:t xml:space="preserve"> </w:t>
      </w:r>
      <w:r>
        <w:t xml:space="preserve">Hematological</w:t>
      </w:r>
      <w:r>
        <w:t xml:space="preserve"> </w:t>
      </w:r>
      <w:r>
        <w:t xml:space="preserve">Profiles</w:t>
      </w:r>
      <w:r>
        <w:t xml:space="preserve"> </w:t>
      </w:r>
      <w:r>
        <w:t xml:space="preserve">in</w:t>
      </w:r>
      <w:r>
        <w:t xml:space="preserve"> </w:t>
      </w:r>
      <w:r>
        <w:t xml:space="preserve">Urban</w:t>
      </w:r>
      <w:r>
        <w:t xml:space="preserve"> </w:t>
      </w:r>
      <w:r>
        <w:t xml:space="preserve">Environments</w:t>
      </w:r>
    </w:p>
    <w:bookmarkStart w:id="25" w:name="veterinary-clinical-laboratory-report"/>
    <w:p>
      <w:pPr>
        <w:pStyle w:val="Heading1"/>
      </w:pPr>
      <w:r>
        <w:t xml:space="preserve">Veterinary Clinical Laboratory Report</w:t>
      </w:r>
    </w:p>
    <w:p>
      <w:pPr>
        <w:pStyle w:val="FirstParagraph"/>
      </w:pPr>
      <w:r>
        <w:rPr>
          <w:bCs/>
          <w:b/>
        </w:rPr>
        <w:t xml:space="preserve">Date:</w:t>
      </w:r>
      <w:r>
        <w:t xml:space="preserve"> </w:t>
      </w:r>
      <w:r>
        <w:t xml:space="preserve">October 14, 2023</w:t>
      </w:r>
      <w:r>
        <w:br/>
      </w:r>
      <w:r>
        <w:rPr>
          <w:bCs/>
          <w:b/>
        </w:rPr>
        <w:t xml:space="preserve">Laboratory ID:</w:t>
      </w:r>
      <w:r>
        <w:t xml:space="preserve"> </w:t>
      </w:r>
      <w:r>
        <w:t xml:space="preserve">SH-VET-2023-8940</w:t>
      </w:r>
      <w:r>
        <w:br/>
      </w:r>
      <w:r>
        <w:rPr>
          <w:bCs/>
          <w:b/>
        </w:rPr>
        <w:t xml:space="preserve">Institution:</w:t>
      </w:r>
      <w:r>
        <w:t xml:space="preserve"> </w:t>
      </w:r>
      <w:r>
        <w:t xml:space="preserve">Shanghai Municipal Center for Disease Control and Prevention – Veterinary Division</w:t>
      </w:r>
      <w:r>
        <w:br/>
      </w:r>
      <w:r>
        <w:rPr>
          <w:bCs/>
          <w:b/>
        </w:rPr>
        <w:t xml:space="preserve">Patient ID:</w:t>
      </w:r>
      <w:r>
        <w:t xml:space="preserve"> </w:t>
      </w:r>
      <w:r>
        <w:t xml:space="preserve">CAN-RF-112 (Golden Retriever, Male, 7 Years)</w:t>
      </w:r>
      <w:r>
        <w:br/>
      </w:r>
      <w:r>
        <w:rPr>
          <w:bCs/>
          <w:b/>
        </w:rPr>
        <w:t xml:space="preserve">Location Context:</w:t>
      </w:r>
      <w:r>
        <w:t xml:space="preserve"> </w:t>
      </w:r>
      <w:r>
        <w:t xml:space="preserve">China Shanghai Metropolitan Area</w:t>
      </w:r>
    </w:p>
    <w:bookmarkStart w:id="20"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Veterinarian</w:t>
      </w:r>
      <w:r>
        <w:t xml:space="preserve"> </w:t>
      </w:r>
      <w:r>
        <w:t xml:space="preserve">Lab Report detailing the clinical findings associated with a routine hematology and biochemistry panel conducted on a domestic canine patient residing in the dense urban environment of</w:t>
      </w:r>
      <w:r>
        <w:t xml:space="preserve"> </w:t>
      </w:r>
      <w:r>
        <w:rPr>
          <w:bCs/>
          <w:b/>
        </w:rPr>
        <w:t xml:space="preserve">China Shanghai</w:t>
      </w:r>
      <w:r>
        <w:t xml:space="preserve">. The primary objective of this analysis is to establish baseline health metrics for an aging pet, specifically screening for pathologies prevalent in high-density metropolitan areas. As a critical component of preventive medicine, accurate diagnostic data obtained through rigorous laboratory testing allows the attending</w:t>
      </w:r>
      <w:r>
        <w:t xml:space="preserve"> </w:t>
      </w:r>
      <w:r>
        <w:rPr>
          <w:bCs/>
          <w:b/>
        </w:rPr>
        <w:t xml:space="preserve">Veterinarian</w:t>
      </w:r>
      <w:r>
        <w:t xml:space="preserve"> </w:t>
      </w:r>
      <w:r>
        <w:t xml:space="preserve">to formulate effective treatment plans and lifestyle recommendations tailored to the unique ecological factors present in</w:t>
      </w:r>
      <w:r>
        <w:t xml:space="preserve"> </w:t>
      </w:r>
      <w:r>
        <w:rPr>
          <w:bCs/>
          <w:b/>
        </w:rPr>
        <w:t xml:space="preserve">China Shanghai</w:t>
      </w:r>
      <w:r>
        <w:t xml:space="preserve">. This report highlights the importance of integrating local epidemiological data with standard veterinary practices.</w:t>
      </w:r>
    </w:p>
    <w:bookmarkEnd w:id="20"/>
    <w:bookmarkStart w:id="21" w:name="ii.-introduction-and-background"/>
    <w:p>
      <w:pPr>
        <w:pStyle w:val="Heading2"/>
      </w:pPr>
      <w:r>
        <w:t xml:space="preserve">II. Introduction and Background</w:t>
      </w:r>
    </w:p>
    <w:p>
      <w:pPr>
        <w:pStyle w:val="FirstParagraph"/>
      </w:pPr>
      <w:r>
        <w:t xml:space="preserve">The role of a modern</w:t>
      </w:r>
      <w:r>
        <w:t xml:space="preserve"> </w:t>
      </w:r>
      <w:r>
        <w:rPr>
          <w:bCs/>
          <w:b/>
        </w:rPr>
        <w:t xml:space="preserve">Veterinarian</w:t>
      </w:r>
      <w:r>
        <w:t xml:space="preserve"> </w:t>
      </w:r>
      <w:r>
        <w:t xml:space="preserve">extends beyond basic animal care; it involves navigating complex public health landscapes, particularly in mega-cities like</w:t>
      </w:r>
      <w:r>
        <w:t xml:space="preserve"> </w:t>
      </w:r>
      <w:r>
        <w:rPr>
          <w:bCs/>
          <w:b/>
        </w:rPr>
        <w:t xml:space="preserve">China Shanghai</w:t>
      </w:r>
      <w:r>
        <w:t xml:space="preserve">. With a population density that exceeds 38 million people, the capital city of Shanghai presents unique challenges for veterinary medicine. The proximity of domestic animals to human populations requires strict adherence to biosecurity protocols and comprehensive diagnostic screening.</w:t>
      </w:r>
      <w:r>
        <w:t xml:space="preserve"> </w:t>
      </w:r>
      <w:r>
        <w:t xml:space="preserve">In recent years, there has been a significant shift in pet ownership demographics within</w:t>
      </w:r>
      <w:r>
        <w:t xml:space="preserve"> </w:t>
      </w:r>
      <w:r>
        <w:rPr>
          <w:bCs/>
          <w:b/>
        </w:rPr>
        <w:t xml:space="preserve">China Shanghai</w:t>
      </w:r>
      <w:r>
        <w:t xml:space="preserve">. Pets are increasingly viewed as family members, leading to higher demands for specialized medical care. Consequently, the standard of care provided by a qualified</w:t>
      </w:r>
      <w:r>
        <w:t xml:space="preserve"> </w:t>
      </w:r>
      <w:r>
        <w:rPr>
          <w:bCs/>
          <w:b/>
        </w:rPr>
        <w:t xml:space="preserve">Veterinarian</w:t>
      </w:r>
      <w:r>
        <w:t xml:space="preserve"> </w:t>
      </w:r>
      <w:r>
        <w:t xml:space="preserve">must reflect international best practices while accounting for local environmental stressors. These stressors include air quality variations specific to the Yangtze River Delta region, dietary habits common in Chinese urban households, and the prevalence of vector-borne diseases transmitted by ticks and mosquitoes that thrive in the subtropical climate of</w:t>
      </w:r>
      <w:r>
        <w:t xml:space="preserve"> </w:t>
      </w:r>
      <w:r>
        <w:rPr>
          <w:bCs/>
          <w:b/>
        </w:rPr>
        <w:t xml:space="preserve">China Shanghai</w:t>
      </w:r>
      <w:r>
        <w:t xml:space="preserve">.</w:t>
      </w:r>
      <w:r>
        <w:t xml:space="preserve"> </w:t>
      </w:r>
      <w:r>
        <w:t xml:space="preserve">This lab report aims to provide a detailed breakdown of laboratory results for Patient ID CAN-RF-112. The data presented herein is intended to guide clinical decision-making, ensuring that the health management strategies employed by the</w:t>
      </w:r>
      <w:r>
        <w:t xml:space="preserve"> </w:t>
      </w:r>
      <w:r>
        <w:rPr>
          <w:bCs/>
          <w:b/>
        </w:rPr>
        <w:t xml:space="preserve">Veterinarian</w:t>
      </w:r>
      <w:r>
        <w:t xml:space="preserve"> </w:t>
      </w:r>
      <w:r>
        <w:t xml:space="preserve">are evidence-based and contextually relevant to life in</w:t>
      </w:r>
      <w:r>
        <w:t xml:space="preserve"> </w:t>
      </w:r>
      <w:r>
        <w:rPr>
          <w:bCs/>
          <w:b/>
        </w:rPr>
        <w:t xml:space="preserve">China Shanghai</w:t>
      </w:r>
      <w:r>
        <w:t xml:space="preserve">.</w:t>
      </w:r>
    </w:p>
    <w:bookmarkEnd w:id="21"/>
    <w:bookmarkStart w:id="22" w:name="iii.-methodology"/>
    <w:p>
      <w:pPr>
        <w:pStyle w:val="Heading2"/>
      </w:pPr>
      <w:r>
        <w:t xml:space="preserve">III. Methodology</w:t>
      </w:r>
    </w:p>
    <w:p>
      <w:pPr>
        <w:pStyle w:val="FirstParagraph"/>
      </w:pPr>
      <w:r>
        <w:t xml:space="preserve">The sample collection was performed following strict aseptic techniques at a certified veterinary clinic in the Jing’an District of</w:t>
      </w:r>
      <w:r>
        <w:t xml:space="preserve"> </w:t>
      </w:r>
      <w:r>
        <w:rPr>
          <w:bCs/>
          <w:b/>
        </w:rPr>
        <w:t xml:space="preserve">China Shanghai</w:t>
      </w:r>
      <w:r>
        <w:t xml:space="preserve">. The attending</w:t>
      </w:r>
      <w:r>
        <w:t xml:space="preserve"> </w:t>
      </w:r>
      <w:r>
        <w:rPr>
          <w:bCs/>
          <w:b/>
        </w:rPr>
        <w:t xml:space="preserve">Veterinarian</w:t>
      </w:r>
      <w:r>
        <w:t xml:space="preserve"> </w:t>
      </w:r>
      <w:r>
        <w:t xml:space="preserve">collected 5ml of whole blood via cephalic venipuncture into EDTA-coated tubes for hematology and plain tubes for serum biochemistry.</w:t>
      </w:r>
      <w:r>
        <w:t xml:space="preserve"> </w:t>
      </w:r>
      <w:r>
        <w:t xml:space="preserve">Samples were transported within two hours to the central laboratory, maintaining a temperature-controlled environment to prevent sample degradation. All testing procedures adhered to the guidelines established by the Chinese Academy of Veterinary Sciences, with additional validation against World Association for Veterinary Laboratory Animal Science (WALVAS) standards. This dual approach ensures that findings are both locally compliant and internationally recognizable, a crucial aspect for any</w:t>
      </w:r>
      <w:r>
        <w:t xml:space="preserve"> </w:t>
      </w:r>
      <w:r>
        <w:rPr>
          <w:bCs/>
          <w:b/>
        </w:rPr>
        <w:t xml:space="preserve">Veterinarian</w:t>
      </w:r>
      <w:r>
        <w:t xml:space="preserve"> </w:t>
      </w:r>
      <w:r>
        <w:t xml:space="preserve">operating in the international hub of</w:t>
      </w:r>
      <w:r>
        <w:t xml:space="preserve"> </w:t>
      </w:r>
      <w:r>
        <w:rPr>
          <w:bCs/>
          <w:b/>
        </w:rPr>
        <w:t xml:space="preserve">China Shanghai</w:t>
      </w:r>
      <w:r>
        <w:t xml:space="preserve">.</w:t>
      </w:r>
    </w:p>
    <w:bookmarkEnd w:id="22"/>
    <w:bookmarkStart w:id="24" w:name="iv.-results"/>
    <w:p>
      <w:pPr>
        <w:pStyle w:val="Heading2"/>
      </w:pPr>
      <w:r>
        <w:t xml:space="preserve">IV. Results</w:t>
      </w:r>
    </w:p>
    <w:p>
      <w:pPr>
        <w:pStyle w:val="FirstParagraph"/>
      </w:pPr>
      <w:r>
        <w:t xml:space="preserve">The following tables summarize the key laboratory findings. These values have been compared against reference ranges adjusted for indoor-outdoor dogs living in urban Chinese metropolitan centers.</w:t>
      </w:r>
    </w:p>
    <w:bookmarkStart w:id="23" w:name="table-1-complete-blood-count-cbc"/>
    <w:p>
      <w:pPr>
        <w:pStyle w:val="Heading3"/>
      </w:pPr>
      <w:r>
        <w:t xml:space="preserve">Table 1: Complete Blood Count (CBC)</w:t>
      </w:r>
    </w:p>
    <w:p>
      <w:pPr>
        <w:pStyle w:val="FirstParagraph"/>
      </w:pPr>
      <w:r>
        <w:t xml:space="preserve">Parameter</w:t>
      </w:r>
    </w:p>
    <w:p>
      <w:pPr>
        <w:pStyle w:val="BodyText"/>
      </w:pPr>
      <w:r>
        <w:t xml:space="preserve">Patient Value</w:t>
      </w:r>
    </w:p>
    <w:p>
      <w:pPr>
        <w:pStyle w:val="BodyText"/>
      </w:pPr>
      <w:r>
        <w:t xml:space="preserve">Reference Range (Urban China Shanghai)</w:t>
      </w:r>
    </w:p>
    <w:p>
      <w:pPr>
        <w:pStyle w:val="BodyText"/>
      </w:pPr>
      <w:r>
        <w:t xml:space="preserve">Status</w:t>
      </w:r>
    </w:p>
    <w:p>
      <w:pPr>
        <w:pStyle w:val="BodyText"/>
      </w:pPr>
      <w:r>
        <w:t xml:space="preserve">Hemoglobin (HGB)</w:t>
      </w:r>
    </w:p>
    <w:p>
      <w:pPr>
        <w:pStyle w:val="BodyText"/>
      </w:pPr>
      <w:r>
        <w:t xml:space="preserve">14.2 g/dL</w:t>
      </w:r>
    </w:p>
    <w:p>
      <w:pPr>
        <w:pStyle w:val="BodyText"/>
      </w:pPr>
      <w:r>
        <w:t xml:space="preserve">12.0 – 18.0 g/dL</w:t>
      </w:r>
    </w:p>
    <w:p>
      <w:pPr>
        <w:pStyle w:val="BodyText"/>
      </w:pPr>
      <w:r>
        <w:t xml:space="preserve">Normal</w:t>
      </w:r>
    </w:p>
    <w:p>
      <w:pPr>
        <w:pStyle w:val="BodyText"/>
      </w:pPr>
      <w:r>
        <w:t xml:space="preserve">Hematocrit (HCT)</w:t>
      </w:r>
    </w:p>
    <w:p>
      <w:pPr>
        <w:pStyle w:val="BodyText"/>
      </w:pPr>
      <w:r>
        <w:t xml:space="preserve">45%</w:t>
      </w:r>
    </w:p>
    <w:p>
      <w:pPr>
        <w:pStyle w:val="BodyText"/>
      </w:pPr>
      <w:r>
        <w:t xml:space="preserve">37% – 55%</w:t>
      </w:r>
    </w:p>
    <w:p>
      <w:pPr>
        <w:pStyle w:val="BodyText"/>
      </w:pPr>
      <w:r>
        <w:t xml:space="preserve">Nominal</w:t>
      </w:r>
    </w:p>
    <w:p>
      <w:pPr>
        <w:pStyle w:val="BodyText"/>
      </w:pPr>
      <w:r>
        <w:t xml:space="preserve">/html</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Laboratory Report: Clinical Analysis of Canine Hematological Profiles in Urban Environments</dc:title>
  <dc:creator/>
  <dc:language>en</dc:language>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file>