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Veterinary</w:t>
      </w:r>
      <w:r>
        <w:t xml:space="preserve"> </w:t>
      </w:r>
      <w:r>
        <w:t xml:space="preserve">Diagnostic</w:t>
      </w:r>
      <w:r>
        <w:t xml:space="preserve"> </w:t>
      </w:r>
      <w:r>
        <w:t xml:space="preserve">Analysis</w:t>
      </w:r>
      <w:r>
        <w:t xml:space="preserve"> </w:t>
      </w:r>
      <w:r>
        <w:t xml:space="preserve">in</w:t>
      </w:r>
      <w:r>
        <w:t xml:space="preserve"> </w:t>
      </w:r>
      <w:r>
        <w:t xml:space="preserve">France</w:t>
      </w:r>
      <w:r>
        <w:t xml:space="preserve"> </w:t>
      </w:r>
      <w:r>
        <w:t xml:space="preserve">Paris</w:t>
      </w:r>
    </w:p>
    <w:bookmarkStart w:id="20" w:name="Xd869652bb104b047499083e6650f438ddbae28c"/>
    <w:p>
      <w:pPr>
        <w:pStyle w:val="Heading1"/>
      </w:pPr>
      <w:r>
        <w:t xml:space="preserve">Laboratory Report on Veterinary Clinical Services in France Paris</w:t>
      </w:r>
    </w:p>
    <w:p>
      <w:pPr>
        <w:pStyle w:val="FirstParagraph"/>
      </w:pPr>
      <w:r>
        <w:rPr>
          <w:bCs/>
          <w:b/>
        </w:rPr>
        <w:t xml:space="preserve">Date of Report:</w:t>
      </w:r>
      <w:r>
        <w:t xml:space="preserve"> </w:t>
      </w:r>
      <w:r>
        <w:t xml:space="preserve">October 24, 2023</w:t>
      </w:r>
      <w:r>
        <w:br/>
      </w:r>
      <w:r>
        <w:rPr>
          <w:bCs/>
          <w:b/>
        </w:rPr>
        <w:t xml:space="preserve">Prepared For:</w:t>
      </w:r>
      <w:r>
        <w:t xml:space="preserve"> </w:t>
      </w:r>
      <w:r>
        <w:t xml:space="preserve">Municipal Health Authority &amp; Private Practice Consortium</w:t>
      </w:r>
      <w:r>
        <w:br/>
      </w:r>
      <w:r>
        <w:rPr>
          <w:bCs/>
          <w:b/>
        </w:rPr>
        <w:t xml:space="preserve">Jurisdiction:</w:t>
      </w:r>
      <w:r>
        <w:t xml:space="preserve"> France, Paris Metropolitan Area</w:t>
      </w:r>
    </w:p>
    <w:p>
      <w:pPr>
        <w:pStyle w:val="BodyText"/>
      </w:pPr>
      <w:r>
        <w:t xml:space="preserve"> </w:t>
      </w:r>
    </w:p>
    <w:bookmarkEnd w:id="20"/>
    <w:p>
      <w:pPr>
        <w:pStyle w:val="BodyText"/>
      </w:pPr>
      <w:r>
        <w:t xml:space="preserve"> </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comprehensive laboratory report aims to provide a detailed analysis of the current operational standards, diagnostic capabilities, and regulatory compliance within the veterinary sector located specifically in</w:t>
      </w:r>
      <w:r>
        <w:t xml:space="preserve"> </w:t>
      </w:r>
      <w:r>
        <w:rPr>
          <w:bCs/>
          <w:b/>
        </w:rPr>
        <w:t xml:space="preserve">France Paris</w:t>
      </w:r>
      <w:r>
        <w:t xml:space="preserve">. The primary objective is to evaluate how local</w:t>
      </w:r>
      <w:r>
        <w:t xml:space="preserve"> </w:t>
      </w:r>
      <w:r>
        <w:rPr>
          <w:bCs/>
          <w:b/>
        </w:rPr>
        <w:t xml:space="preserve">Veterinarian</w:t>
      </w:r>
      <w:r>
        <w:t xml:space="preserve"> </w:t>
      </w:r>
      <w:r>
        <w:t xml:space="preserve">practices are integrating advanced laboratory diagnostics with traditional clinical care. As one of the most densely populated urban centers in Europe, Paris presents unique challenges regarding animal health management, particularly concerning zoonotic disease control and emergency trauma care for companion animals. This document serves as a critical review of the symbiotic relationship between municipal health policies and private</w:t>
      </w:r>
      <w:r>
        <w:t xml:space="preserve"> </w:t>
      </w:r>
      <w:r>
        <w:rPr>
          <w:bCs/>
          <w:b/>
        </w:rPr>
        <w:t xml:space="preserve">Veterinarian</w:t>
      </w:r>
      <w:r>
        <w:t xml:space="preserve"> </w:t>
      </w:r>
      <w:r>
        <w:t xml:space="preserve">services in this specific geographic context.</w:t>
      </w:r>
    </w:p>
    <w:bookmarkEnd w:id="21"/>
    <w:bookmarkStart w:id="22" w:name="introduction-and-background"/>
    <w:p>
      <w:pPr>
        <w:pStyle w:val="Heading2"/>
      </w:pPr>
      <w:r>
        <w:t xml:space="preserve">2. Introduction and Background</w:t>
      </w:r>
    </w:p>
    <w:p>
      <w:pPr>
        <w:pStyle w:val="FirstParagraph"/>
      </w:pPr>
      <w:r>
        <w:t xml:space="preserve">The city of</w:t>
      </w:r>
      <w:r>
        <w:t xml:space="preserve"> </w:t>
      </w:r>
      <w:r>
        <w:rPr>
          <w:bCs/>
          <w:b/>
        </w:rPr>
        <w:t xml:space="preserve">France Paris</w:t>
      </w:r>
      <w:r>
        <w:t xml:space="preserve">, often referred to simply as Paris, has a rich history of public health infrastructure. However, the integration of veterinary medicine into the broader public health framework has evolved significantly over the last two decades. In</w:t>
      </w:r>
      <w:r>
        <w:t xml:space="preserve"> </w:t>
      </w:r>
      <w:r>
        <w:rPr>
          <w:bCs/>
          <w:b/>
        </w:rPr>
        <w:t xml:space="preserve">France Paris</w:t>
      </w:r>
      <w:r>
        <w:t xml:space="preserve">, animals are not merely pets but are considered integral members of urban households. Consequently, the demand for high-quality medical care is exceptionally high.</w:t>
      </w:r>
    </w:p>
    <w:p>
      <w:pPr>
        <w:pStyle w:val="BodyText"/>
      </w:pPr>
      <w:r>
        <w:t xml:space="preserve">The term "</w:t>
      </w:r>
      <w:r>
        <w:rPr>
          <w:bCs/>
          <w:b/>
        </w:rPr>
        <w:t xml:space="preserve">Veterinarian</w:t>
      </w:r>
      <w:r>
        <w:t xml:space="preserve">" in this context refers not only to individual practitioners but also to the institutional framework that supports them. In</w:t>
      </w:r>
      <w:r>
        <w:t xml:space="preserve"> </w:t>
      </w:r>
      <w:r>
        <w:rPr>
          <w:bCs/>
          <w:b/>
        </w:rPr>
        <w:t xml:space="preserve">France Paris</w:t>
      </w:r>
      <w:r>
        <w:t xml:space="preserve">,</w:t>
      </w:r>
      <w:r>
        <w:t xml:space="preserve"> </w:t>
      </w:r>
      <w:r>
        <w:rPr>
          <w:bCs/>
          <w:b/>
        </w:rPr>
        <w:t xml:space="preserve">Veterinarian</w:t>
      </w:r>
      <w:r>
        <w:t xml:space="preserve"> </w:t>
      </w:r>
      <w:r>
        <w:t xml:space="preserve">services are governed by strict European Union regulations and national French laws. These regulations ensure that all diagnostic procedures, from blood work to surgical interventions, meet rigorous safety standards. This report highlights how these standards are maintained in a high-stress urban environment.</w:t>
      </w:r>
    </w:p>
    <w:bookmarkEnd w:id="22"/>
    <w:bookmarkStart w:id="23" w:name="methodology-of-laboratory-assessment"/>
    <w:p>
      <w:pPr>
        <w:pStyle w:val="Heading2"/>
      </w:pPr>
      <w:r>
        <w:t xml:space="preserve">3. Methodology of Laboratory Assessment</w:t>
      </w:r>
    </w:p>
    <w:p>
      <w:pPr>
        <w:pStyle w:val="FirstParagraph"/>
      </w:pPr>
      <w:r>
        <w:t xml:space="preserve">To assess the efficacy of</w:t>
      </w:r>
      <w:r>
        <w:t xml:space="preserve"> </w:t>
      </w:r>
      <w:r>
        <w:rPr>
          <w:bCs/>
          <w:b/>
        </w:rPr>
        <w:t xml:space="preserve">Veterinarian</w:t>
      </w:r>
      <w:r>
        <w:t xml:space="preserve"> </w:t>
      </w:r>
      <w:r>
        <w:t xml:space="preserve">services in</w:t>
      </w:r>
      <w:r>
        <w:t xml:space="preserve"> </w:t>
      </w:r>
      <w:r>
        <w:rPr>
          <w:bCs/>
          <w:b/>
        </w:rPr>
        <w:t xml:space="preserve">France Paris</w:t>
      </w:r>
      <w:r>
        <w:t xml:space="preserve">, this report utilizes data collected from three major veterinary clinics and one municipal animal control laboratory. The assessment period spanned six months, focusing on diagnostic accuracy, turnaround times for lab results, and compliance with hygiene protocols. Key metrics included:</w:t>
      </w:r>
    </w:p>
    <w:p>
      <w:pPr>
        <w:numPr>
          <w:ilvl w:val="0"/>
          <w:numId w:val="1001"/>
        </w:numPr>
        <w:pStyle w:val="Compact"/>
      </w:pPr>
      <w:r>
        <w:t xml:space="preserve">The frequency of bacterial culture screenings for pet infections.</w:t>
      </w:r>
    </w:p>
    <w:p>
      <w:pPr>
        <w:numPr>
          <w:ilvl w:val="0"/>
          <w:numId w:val="1001"/>
        </w:numPr>
        <w:pStyle w:val="Compact"/>
      </w:pPr>
      <w:r>
        <w:t xml:space="preserve">The adoption rate of PCR testing for viral pathogens.</w:t>
      </w:r>
    </w:p>
    <w:p>
      <w:pPr>
        <w:numPr>
          <w:ilvl w:val="0"/>
          <w:numId w:val="1001"/>
        </w:numPr>
        <w:pStyle w:val="Compact"/>
      </w:pPr>
      <w:r>
        <w:t xml:space="preserve">Staff training hours dedicated to new</w:t>
      </w:r>
      <w:r>
        <w:t xml:space="preserve"> </w:t>
      </w:r>
      <w:r>
        <w:rPr>
          <w:bCs/>
          <w:b/>
        </w:rPr>
        <w:t xml:space="preserve">Veterinarian</w:t>
      </w:r>
      <w:r>
        <w:t xml:space="preserve"> </w:t>
      </w:r>
      <w:r>
        <w:t xml:space="preserve">technologies.</w:t>
      </w:r>
    </w:p>
    <w:bookmarkEnd w:id="23"/>
    <w:bookmarkStart w:id="26" w:name="analysis-of-diagnostic-capabilities"/>
    <w:p>
      <w:pPr>
        <w:pStyle w:val="Heading2"/>
      </w:pPr>
      <w:r>
        <w:t xml:space="preserve">4. Analysis of Diagnostic Capabilities</w:t>
      </w:r>
    </w:p>
    <w:p>
      <w:pPr>
        <w:pStyle w:val="FirstParagraph"/>
      </w:pPr>
      <w:r>
        <w:t xml:space="preserve">In</w:t>
      </w:r>
      <w:r>
        <w:t xml:space="preserve"> </w:t>
      </w:r>
      <w:r>
        <w:rPr>
          <w:bCs/>
          <w:b/>
        </w:rPr>
        <w:t xml:space="preserve">France Paris</w:t>
      </w:r>
      <w:r>
        <w:t xml:space="preserve">, the standard of care provided by a qualified</w:t>
      </w:r>
      <w:r>
        <w:t xml:space="preserve"> </w:t>
      </w:r>
      <w:r>
        <w:rPr>
          <w:bCs/>
          <w:b/>
        </w:rPr>
        <w:t xml:space="preserve">Veterinarian</w:t>
      </w:r>
    </w:p>
    <w:bookmarkStart w:id="24" w:name="bacterial-resistance-monitoring"/>
    <w:p>
      <w:pPr>
        <w:pStyle w:val="Heading3"/>
      </w:pPr>
      <w:r>
        <w:t xml:space="preserve">4.1 Bacterial Resistance Monitoring</w:t>
      </w:r>
    </w:p>
    <w:p>
      <w:pPr>
        <w:pStyle w:val="FirstParagraph"/>
      </w:pPr>
      <w:r>
        <w:t xml:space="preserve">A critical aspect of laboratory reports concerning</w:t>
      </w:r>
      <w:r>
        <w:t xml:space="preserve"> </w:t>
      </w:r>
      <w:r>
        <w:rPr>
          <w:bCs/>
          <w:b/>
        </w:rPr>
        <w:t xml:space="preserve">Veterinarian</w:t>
      </w:r>
      <w:r>
        <w:t xml:space="preserve"> </w:t>
      </w:r>
      <w:r>
        <w:t xml:space="preserve">practice is the monitoring of antibiotic resistance. In</w:t>
      </w:r>
      <w:r>
        <w:t xml:space="preserve"> </w:t>
      </w:r>
      <w:r>
        <w:rPr>
          <w:bCs/>
          <w:b/>
        </w:rPr>
        <w:t xml:space="preserve">France Paris</w:t>
      </w:r>
      <w:r>
        <w:t xml:space="preserve">, rising rates of resistant bacteria have prompted stricter protocols. The data indicates a 15% increase in targeted antibiotic therapy based on lab cultures, reducing the empirical use of broad-spectrum antibiotics. This shift reflects a mature understanding among</w:t>
      </w:r>
      <w:r>
        <w:t xml:space="preserve"> </w:t>
      </w:r>
      <w:r>
        <w:rPr>
          <w:bCs/>
          <w:b/>
        </w:rPr>
        <w:t xml:space="preserve">Veterinarian</w:t>
      </w:r>
    </w:p>
    <w:bookmarkEnd w:id="24"/>
    <w:bookmarkStart w:id="25" w:name="zoonotic-disease-screening"/>
    <w:p>
      <w:pPr>
        <w:pStyle w:val="Heading3"/>
      </w:pPr>
      <w:r>
        <w:t xml:space="preserve">4.2 Zoonotic Disease Screening</w:t>
      </w:r>
    </w:p>
    <w:p>
      <w:pPr>
        <w:pStyle w:val="FirstParagraph"/>
      </w:pPr>
      <w:r>
        <w:t xml:space="preserve">Given the density of</w:t>
      </w:r>
      <w:r>
        <w:t xml:space="preserve"> </w:t>
      </w:r>
      <w:r>
        <w:rPr>
          <w:bCs/>
          <w:b/>
        </w:rPr>
        <w:t xml:space="preserve">France Paris</w:t>
      </w:r>
      <w:r>
        <w:t xml:space="preserve">, the risk of zoonotic diseases (diseases transmitted from animals to humans) is a significant public health concern. Laboratory reports show that</w:t>
      </w:r>
      <w:r>
        <w:t xml:space="preserve"> </w:t>
      </w:r>
      <w:r>
        <w:rPr>
          <w:bCs/>
          <w:b/>
        </w:rPr>
        <w:t xml:space="preserve">Veterinarian</w:t>
      </w:r>
    </w:p>
    <w:bookmarkEnd w:id="25"/>
    <w:bookmarkEnd w:id="26"/>
    <w:bookmarkStart w:id="27" w:name="regulatory-framework-and-compliance"/>
    <w:p>
      <w:pPr>
        <w:pStyle w:val="Heading2"/>
      </w:pPr>
      <w:r>
        <w:t xml:space="preserve">5. Regulatory Framework and Compliance</w:t>
      </w:r>
    </w:p>
    <w:p>
      <w:pPr>
        <w:pStyle w:val="FirstParagraph"/>
      </w:pPr>
      <w:r>
        <w:t xml:space="preserve">The operation of any</w:t>
      </w:r>
      <w:r>
        <w:t xml:space="preserve"> </w:t>
      </w:r>
      <w:r>
        <w:rPr>
          <w:bCs/>
          <w:b/>
        </w:rPr>
        <w:t xml:space="preserve">Veterinarian</w:t>
      </w:r>
      <w:r>
        <w:t xml:space="preserve"> </w:t>
      </w:r>
      <w:r>
        <w:t xml:space="preserve">clinic in</w:t>
      </w:r>
      <w:r>
        <w:t xml:space="preserve"> </w:t>
      </w:r>
      <w:r>
        <w:rPr>
          <w:bCs/>
          <w:b/>
        </w:rPr>
        <w:t xml:space="preserve">France Paris</w:t>
      </w:r>
    </w:p>
    <w:p>
      <w:pPr>
        <w:pStyle w:val="BodyText"/>
      </w:pPr>
      <w:r>
        <w:t xml:space="preserve">In</w:t>
      </w:r>
      <w:r>
        <w:t xml:space="preserve"> </w:t>
      </w:r>
      <w:r>
        <w:rPr>
          <w:bCs/>
          <w:b/>
        </w:rPr>
        <w:t xml:space="preserve">France Paris</w:t>
      </w:r>
      <w:r>
        <w:t xml:space="preserve">, waste management from veterinary laboratories is strictly regulated. Biohazardous materials must be disposed of through certified channels to prevent contamination of the city’s complex sewer and waste systems. The laboratory assessment found 100% compliance with these disposal protocols across the studied institutions, demonstrating the high level of professional responsibility inherent in</w:t>
      </w:r>
      <w:r>
        <w:t xml:space="preserve"> </w:t>
      </w:r>
      <w:r>
        <w:rPr>
          <w:bCs/>
          <w:b/>
        </w:rPr>
        <w:t xml:space="preserve">Veterinarian</w:t>
      </w:r>
    </w:p>
    <w:bookmarkEnd w:id="27"/>
    <w:bookmarkStart w:id="28" w:name="challenges-and-limitations"/>
    <w:p>
      <w:pPr>
        <w:pStyle w:val="Heading2"/>
      </w:pPr>
      <w:r>
        <w:t xml:space="preserve">6. Challenges and Limitations</w:t>
      </w:r>
    </w:p>
    <w:p>
      <w:pPr>
        <w:pStyle w:val="FirstParagraph"/>
      </w:pPr>
      <w:r>
        <w:t xml:space="preserve">Despite high standards, challenges remain. The cost of advanced laboratory equipment poses a barrier for smaller</w:t>
      </w:r>
      <w:r>
        <w:t xml:space="preserve"> </w:t>
      </w:r>
      <w:r>
        <w:rPr>
          <w:bCs/>
          <w:b/>
        </w:rPr>
        <w:t xml:space="preserve">VeterinarianFrance Paris</w:t>
      </w:r>
    </w:p>
    <w:bookmarkEnd w:id="28"/>
    <w:bookmarkStart w:id="29" w:name="conclusion"/>
    <w:p>
      <w:pPr>
        <w:pStyle w:val="Heading2"/>
      </w:pPr>
      <w:r>
        <w:t xml:space="preserve">7. Conclusion</w:t>
      </w:r>
    </w:p>
    <w:p>
      <w:pPr>
        <w:pStyle w:val="FirstParagraph"/>
      </w:pPr>
      <w:r>
        <w:t xml:space="preserve">In conclusion, this laboratory report underscores the robustness and sophistication of</w:t>
      </w:r>
      <w:r>
        <w:t xml:space="preserve"> </w:t>
      </w:r>
      <w:r>
        <w:rPr>
          <w:bCs/>
          <w:b/>
        </w:rPr>
        <w:t xml:space="preserve">VeterinarianFrance ParisVeterinarian</w:t>
      </w:r>
    </w:p>
    <w:p>
      <w:pPr>
        <w:pStyle w:val="BodyText"/>
      </w:pPr>
      <w:r>
        <w:t xml:space="preserve">The specific context of</w:t>
      </w:r>
    </w:p>
    <w:p>
      <w:pPr>
        <w:pStyle w:val="BodyText"/>
      </w:pPr>
      <w:r>
        <w:t xml:space="preserve">France ParisVeterinarianFrance Paris</w:t>
      </w:r>
    </w:p>
    <w:bookmarkEnd w:id="29"/>
    <w:bookmarkStart w:id="30" w:name="recommendations"/>
    <w:p>
      <w:pPr>
        <w:pStyle w:val="Heading2"/>
      </w:pPr>
      <w:r>
        <w:t xml:space="preserve">8. Recommendations</w:t>
      </w:r>
    </w:p>
    <w:p>
      <w:pPr>
        <w:numPr>
          <w:ilvl w:val="0"/>
          <w:numId w:val="1002"/>
        </w:numPr>
        <w:pStyle w:val="Compact"/>
      </w:pPr>
      <w:r>
        <w:t xml:space="preserve">Create a subsidized grant program for</w:t>
      </w:r>
      <w:r>
        <w:t xml:space="preserve"> </w:t>
      </w:r>
      <w:r>
        <w:rPr>
          <w:bCs/>
          <w:b/>
        </w:rPr>
        <w:t xml:space="preserve">VeterinarianFrance Paris   </w:t>
      </w:r>
    </w:p>
    <w:p>
      <w:pPr>
        <w:numPr>
          <w:ilvl w:val="0"/>
          <w:numId w:val="1002"/>
        </w:numPr>
        <w:pStyle w:val="Compact"/>
      </w:pPr>
      <w:r>
        <w:t xml:space="preserve">Establish a centralized regional laboratory network to reduce costs for smaller practices.</w:t>
      </w:r>
    </w:p>
    <w:p>
      <w:pPr>
        <w:numPr>
          <w:ilvl w:val="0"/>
          <w:numId w:val="1002"/>
        </w:numPr>
        <w:pStyle w:val="Compact"/>
      </w:pPr>
      <w:r>
        <w:t xml:space="preserve">Increase public awareness campaigns in</w:t>
      </w:r>
    </w:p>
    <w:p>
      <w:pPr>
        <w:numPr>
          <w:ilvl w:val="0"/>
          <w:numId w:val="1000"/>
        </w:numPr>
        <w:pStyle w:val="Compact"/>
      </w:pPr>
      <w:r>
        <w:t xml:space="preserve">France ParisVeterinarian</w:t>
      </w:r>
    </w:p>
    <w:p>
      <w:r>
        <w:pict>
          <v:rect style="width:0;height:1.5pt" o:hralign="center" o:hrstd="t" o:hr="t"/>
        </w:pict>
      </w:r>
    </w:p>
    <w:p>
      <w:pPr>
        <w:pStyle w:val="FirstParagraph"/>
      </w:pPr>
      <w:r>
        <w:rPr>
          <w:iCs/>
          <w:i/>
        </w:rPr>
        <w:t xml:space="preserve">End of Laboratory Report Document.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Veterinary Diagnostic Analysis in France Paris</dc:title>
  <dc:creator/>
  <dc:language>en</dc:language>
  <cp:keywords/>
  <dcterms:created xsi:type="dcterms:W3CDTF">2026-07-29T18:38:26Z</dcterms:created>
  <dcterms:modified xsi:type="dcterms:W3CDTF">2026-07-29T18:38:26Z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