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Frankfurt,</w:t>
      </w:r>
      <w:r>
        <w:t xml:space="preserve"> </w:t>
      </w:r>
      <w:r>
        <w:t xml:space="preserve">Germany</w:t>
      </w:r>
    </w:p>
    <w:bookmarkStart w:id="20" w:name="veterinary-laboratory-diagnostic-report"/>
    <w:p>
      <w:pPr>
        <w:pStyle w:val="Heading1"/>
      </w:pPr>
      <w:r>
        <w:t xml:space="preserve">Veterinary Laboratory Diagnostic Report</w:t>
      </w:r>
    </w:p>
    <w:p>
      <w:pPr>
        <w:pStyle w:val="FirstParagraph"/>
      </w:pPr>
      <w:r>
        <w:rPr>
          <w:bCs/>
          <w:b/>
        </w:rPr>
        <w:t xml:space="preserve">Institution:</w:t>
      </w:r>
      <w:r>
        <w:t xml:space="preserve"> </w:t>
      </w:r>
      <w:r>
        <w:t xml:space="preserve">Central Veterinary Diagnostics Frankfurt (CVDF)</w:t>
      </w:r>
      <w:r>
        <w:br/>
      </w:r>
      <w:r>
        <w:rPr>
          <w:bCs/>
          <w:b/>
        </w:rPr>
        <w:t xml:space="preserve">Jurisdiction:</w:t>
      </w:r>
      <w:r>
        <w:t xml:space="preserve"> </w:t>
      </w:r>
      <w:r>
        <w:t xml:space="preserve">Federal Republic of Germany, State of Hesse</w:t>
      </w:r>
      <w:r>
        <w:br/>
      </w:r>
    </w:p>
    <w:p>
      <w:pPr>
        <w:pStyle w:val="BodyText"/>
      </w:pPr>
      <w:r>
        <w:t xml:space="preserve">Date of Service : October 24, 2023</w:t>
      </w:r>
      <w:r>
        <w:br/>
      </w:r>
    </w:p>
    <w:bookmarkEnd w:id="20"/>
    <w:p>
      <w:pPr>
        <w:pStyle w:val="BodyText"/>
      </w:pPr>
      <w:r>
        <w:rPr>
          <w:bCs/>
          <w:b/>
        </w:rPr>
        <w:t xml:space="preserve">To Whom It May Concern:</w:t>
      </w:r>
    </w:p>
    <w:p>
      <w:pPr>
        <w:pStyle w:val="BodyText"/>
      </w:pPr>
      <w:r>
        <w:t xml:space="preserve">This document serves as a comprehensive</w:t>
      </w:r>
      <w:r>
        <w:t xml:space="preserve"> </w:t>
      </w:r>
      <w:r>
        <w:t xml:space="preserve">Veterinary</w:t>
      </w:r>
      <w:r>
        <w:t xml:space="preserve"> </w:t>
      </w:r>
      <w:r>
        <w:t xml:space="preserve">Laboratory Report generated for the metropolitan area of Frankfurt am Main in</w:t>
      </w:r>
    </w:p>
    <w:p>
      <w:pPr>
        <w:pStyle w:val="BodyText"/>
      </w:pPr>
      <w:r>
        <w:t xml:space="preserve">Germany (Frankfurt). The report details the clinical observations, diagnostic procedures, and laboratory findings conducted on a domestic companion animal patient. This documentation adheres strictly to the rigorous standards mandated by German veterinary laws and European Union regulations regarding animal health and public safety.</w:t>
      </w:r>
    </w:p>
    <w:bookmarkStart w:id="21" w:name="patient-information-and-history"/>
    <w:p>
      <w:pPr>
        <w:pStyle w:val="Heading2"/>
      </w:pPr>
      <w:r>
        <w:t xml:space="preserve">1. Patient Information and History</w:t>
      </w:r>
    </w:p>
    <w:p>
      <w:pPr>
        <w:pStyle w:val="FirstParagraph"/>
      </w:pPr>
      <w:r>
        <w:t xml:space="preserve">The subject of this investigation is a four-year-old male neutered Golden Retriever, identified as "Barnaby." The patient resides within the city limits of Frankfurt, specifically in the Sachsenhausen district. The owner presented to our facility due to persistent lethargy and intermittent gastrointestinal distress noted over the past two weeks.</w:t>
      </w:r>
    </w:p>
    <w:p>
      <w:pPr>
        <w:pStyle w:val="BodyText"/>
      </w:pPr>
      <w:r>
        <w:t xml:space="preserve">In this densely populated urban environment of Frankfurt, access to high-quality veterinary care is paramount. However, it also necessitates vigilant monitoring for zoonotic diseases and environmental pathogens that may thrive in both urban parks and domestic settings. The primary care</w:t>
      </w:r>
      <w:r>
        <w:t xml:space="preserve"> </w:t>
      </w:r>
      <w:r>
        <w:t xml:space="preserve">Veterinarian</w:t>
      </w:r>
      <w:r>
        <w:t xml:space="preserve"> </w:t>
      </w:r>
      <w:r>
        <w:t xml:space="preserve">on record has submitted this request for a full panel of laboratory tests to rule out systemic infections, metabolic disorders, or parasitic infestations common in the region.</w:t>
      </w:r>
    </w:p>
    <w:bookmarkEnd w:id="21"/>
    <w:bookmarkStart w:id="22" w:name="clinical-observations-upon-arrival"/>
    <w:p>
      <w:pPr>
        <w:pStyle w:val="Heading2"/>
      </w:pPr>
      <w:r>
        <w:t xml:space="preserve">2. Clinical Observations upon Arrival</w:t>
      </w:r>
    </w:p>
    <w:p>
      <w:pPr>
        <w:pStyle w:val="FirstParagraph"/>
      </w:pPr>
      <w:r>
        <w:t xml:space="preserve">Upon initial examination at our Frankfurt facility, Barnaby displayed signs of mild dehydration and decreased appetite (anorexia). His body temperature was recorded at 39.1°C (102.4°F), which falls slightly above the normal canine range of 37.5°C to 39.0°C, indicating a low-grade fever typical of an inflammatory response.</w:t>
      </w:r>
    </w:p>
    <w:p>
      <w:pPr>
        <w:pStyle w:val="BodyText"/>
      </w:pPr>
      <w:r>
        <w:t xml:space="preserve">The physical examination revealed clear mucous membranes but slight tachycardia (elevated heart rate). No obvious masses were palpated in the abdominal cavity, although the patient exhibited mild discomfort upon deeper palpation of the mid-abdomen. Given that Frankfurt has specific public health guidelines regarding animal welfare and hygiene, our facility maintains strict sterilization protocols to prevent cross-contamination between patients.</w:t>
      </w:r>
    </w:p>
    <w:bookmarkEnd w:id="22"/>
    <w:bookmarkStart w:id="23" w:name="laboratory-methodology"/>
    <w:p>
      <w:pPr>
        <w:pStyle w:val="Heading2"/>
      </w:pPr>
      <w:r>
        <w:t xml:space="preserve">3. Laboratory Methodology</w:t>
      </w:r>
    </w:p>
    <w:p>
      <w:pPr>
        <w:pStyle w:val="FirstParagraph"/>
      </w:pPr>
      <w:r>
        <w:t xml:space="preserve">To ensure accuracy and compliance with German scientific standards, we employed a multi-modal approach to diagnostics. The following laboratory procedures were executed:</w:t>
      </w:r>
    </w:p>
    <w:p>
      <w:pPr>
        <w:numPr>
          <w:ilvl w:val="0"/>
          <w:numId w:val="1001"/>
        </w:numPr>
        <w:pStyle w:val="Compact"/>
      </w:pPr>
      <w:r>
        <w:t xml:space="preserve">Hematology (CBC): A complete blood count was performed using an automated analyzer to evaluate red blood cells, white blood cells, and platelets. This is crucial for detecting anemia, infection, or clotting disorders.</w:t>
      </w:r>
    </w:p>
    <w:p>
      <w:pPr>
        <w:numPr>
          <w:ilvl w:val="0"/>
          <w:numId w:val="1001"/>
        </w:numPr>
        <w:pStyle w:val="Compact"/>
      </w:pPr>
      <w:r>
        <w:t xml:space="preserve">Biochemistry Panel: Serum was analyzed for liver enzymes (ALT, AST), kidney function markers (Creatinine, BUN), glucose levels, and electrolytes. This panel helps assess the metabolic health of the patient and identifies organ dysfunction.</w:t>
      </w:r>
    </w:p>
    <w:p>
      <w:pPr>
        <w:numPr>
          <w:ilvl w:val="0"/>
          <w:numId w:val="1001"/>
        </w:numPr>
        <w:pStyle w:val="Compact"/>
      </w:pPr>
      <w:r>
        <w:t xml:space="preserve">Urinalysis: A sample of urine was collected via cystocentesis to evaluate specific gravity, pH, protein content, and sediment analysis. This is particularly important in Frankfurt due to varying water quality standards across different districts.</w:t>
      </w:r>
    </w:p>
    <w:p>
      <w:pPr>
        <w:numPr>
          <w:ilvl w:val="0"/>
          <w:numId w:val="1001"/>
        </w:numPr>
        <w:pStyle w:val="Compact"/>
      </w:pPr>
      <w:r>
        <w:t xml:space="preserve">Fecal Flotation: Given the urban setting where dogs frequently interact with public spaces such as the Mainuferpark or Goethes Gartenhaus, screening for gastrointestinal parasites (such as Giardia or hookworms) is standard protocol.</w:t>
      </w:r>
    </w:p>
    <w:bookmarkEnd w:id="23"/>
    <w:bookmarkStart w:id="24" w:name="laboratory-findings-and-results"/>
    <w:p>
      <w:pPr>
        <w:pStyle w:val="Heading2"/>
      </w:pPr>
      <w:r>
        <w:t xml:space="preserve">4. Laboratory Findings and Results</w:t>
      </w:r>
    </w:p>
    <w:p>
      <w:pPr>
        <w:pStyle w:val="FirstParagraph"/>
      </w:pPr>
      <w:r>
        <w:t xml:space="preserve">Test Parameter</w:t>
      </w:r>
    </w:p>
    <w:p>
      <w:pPr>
        <w:pStyle w:val="BodyText"/>
      </w:pPr>
      <w:r>
        <w:t xml:space="preserve">Result Value &lt; th class "table-header" ; "&gt;Reference Range (Canine)</w:t>
      </w:r>
    </w:p>
    <w:p>
      <w:pPr>
        <w:pStyle w:val="BodyText"/>
      </w:pPr>
      <w:r>
        <w:t xml:space="preserve">Hemoglobin (g/dL)</w:t>
      </w:r>
    </w:p>
    <w:p>
      <w:pPr>
        <w:pStyle w:val="BodyText"/>
      </w:pPr>
      <w:r>
        <w:t xml:space="preserve">13.5</w:t>
      </w:r>
    </w:p>
    <w:p>
      <w:pPr>
        <w:pStyle w:val="BodyText"/>
      </w:pPr>
      <w:r>
        <w:t xml:space="preserve">12.0 - 18.0</w:t>
      </w:r>
    </w:p>
    <w:p>
      <w:pPr>
        <w:pStyle w:val="BodyText"/>
      </w:pPr>
      <w:r>
        <w:t xml:space="preserve">&lt; td class = "table-header" ; "&gt;White Blood Cell Count (/µL)&lt; td &gt;16,500 &lt; th &gt;/µL)</w:t>
      </w:r>
    </w:p>
    <w:p>
      <w:pPr>
        <w:pStyle w:val="BodyText"/>
      </w:pPr>
      <w:r>
        <w:t xml:space="preserve">Neutrophils (percentage)</w:t>
      </w:r>
    </w:p>
    <w:p>
      <w:pPr>
        <w:pStyle w:val="BodyText"/>
      </w:pPr>
      <w:r>
        <w:t xml:space="preserve">75%</w:t>
      </w:r>
    </w:p>
    <w:p>
      <w:pPr>
        <w:pStyle w:val="BodyText"/>
      </w:pPr>
      <w:r>
        <w:t xml:space="preserve">40% - 75%</w:t>
      </w:r>
    </w:p>
    <w:p>
      <w:pPr>
        <w:pStyle w:val="BodyText"/>
      </w:pPr>
      <w:r>
        <w:t xml:space="preserve">Creatinine (mg/dL)</w:t>
      </w:r>
    </w:p>
    <w:p>
      <w:pPr>
        <w:pStyle w:val="BodyText"/>
      </w:pPr>
      <w:r>
        <w:t xml:space="preserve">1.2&lt; td class = "reference" ; "&gt;0.6 -1.4</w:t>
      </w:r>
    </w:p>
    <w:p>
      <w:pPr>
        <w:pStyle w:val="BodyText"/>
      </w:pPr>
      <w:r>
        <w:t xml:space="preserve">ALT (U/L)</w:t>
      </w:r>
    </w:p>
    <w:p>
      <w:pPr>
        <w:pStyle w:val="BodyText"/>
      </w:pPr>
      <w:r>
        <w:t xml:space="preserve">45</w:t>
      </w:r>
    </w:p>
    <w:p>
      <w:pPr>
        <w:pStyle w:val="BodyText"/>
      </w:pPr>
      <w:r>
        <w:t xml:space="preserve">10-90</w:t>
      </w:r>
    </w:p>
    <w:p>
      <w:pPr>
        <w:pStyle w:val="BodyText"/>
      </w:pPr>
      <w:r>
        <w:t xml:space="preserve">The hematology results indicate a mild leukocytosis (elevated white blood cell count), predominantly driven by neutrophilia. This suggests an active bacterial infection or significant inflammation within the body. However, the red blood cell indices are normal, ruling out acute hemorrhage or chronic anemia.</w:t>
      </w:r>
    </w:p>
    <w:p>
      <w:pPr>
        <w:pStyle w:val="BodyText"/>
      </w:pPr>
      <w:r>
        <w:t xml:space="preserve">The biochemistry panel reveals normal renal and hepatic function, which is a positive prognostic indicator. The urinalysis shows no signs of proteinuria or bacteriuria, effectively ruling out kidney disease as the primary cause of the lethargy.</w:t>
      </w:r>
    </w:p>
    <w:p>
      <w:pPr>
        <w:pStyle w:val="BodyText"/>
      </w:pPr>
      <w:r>
        <w:t xml:space="preserve">Crucially, the fecal flotation test was negative for ova and cysts. This result is significant because it eliminates parasitic causes such as giardiasis, which can be prevalent in dogs that frequent communal dog-walking areas in Frankfurt. The absence of parasites shifts our diagnostic suspicion toward a bacterial etiology or potentially a non-infectious inflammatory condition.</w:t>
      </w:r>
    </w:p>
    <w:bookmarkEnd w:id="24"/>
    <w:bookmarkStart w:id="25" w:name="discussion-and-interpretation"/>
    <w:p>
      <w:pPr>
        <w:pStyle w:val="Heading2"/>
      </w:pPr>
      <w:r>
        <w:t xml:space="preserve">5. Discussion and Interpretation</w:t>
      </w:r>
    </w:p>
    <w:p>
      <w:pPr>
        <w:pStyle w:val="FirstParagraph"/>
      </w:pPr>
      <w:r>
        <w:t xml:space="preserve">The combination of mild fever, lethargy, gastrointestinal signs, and neutrophilic leukocytosis points strongly toward an infectious gastroenteritis or early-stage pancreatitis. In the context of Frankfurt’s urban ecosystem, dietary indiscretion is a common culprit. Owners in such metropolitan areas often navigate busy streets where dogs may scavenge discarded food from outdoor cafes or littered bins.</w:t>
      </w:r>
    </w:p>
    <w:p>
      <w:pPr>
        <w:pStyle w:val="BodyText"/>
      </w:pPr>
      <w:r>
        <w:t xml:space="preserve">It is also worth noting the specific veterinary regulations in Germany regarding antibiotic usage. As part of responsible</w:t>
      </w:r>
      <w:r>
        <w:t xml:space="preserve"> </w:t>
      </w:r>
      <w:r>
        <w:t xml:space="preserve">Veterinary</w:t>
      </w:r>
      <w:r>
        <w:t xml:space="preserve"> </w:t>
      </w:r>
      <w:r>
        <w:t xml:space="preserve">practice, we are cautious about prescribing broad-spectrum antibiotics unless absolutely necessary to combat antimicrobial resistance. Therefore, before initiating aggressive treatment, we recommend a diagnostic imaging study (ultrasound) to visualize the pancreas and gastrointestinal tract wall thickness.</w:t>
      </w:r>
    </w:p>
    <w:bookmarkEnd w:id="25"/>
    <w:bookmarkStart w:id="26" w:name="conclusion-and-recommendations"/>
    <w:p>
      <w:pPr>
        <w:pStyle w:val="Heading2"/>
      </w:pPr>
      <w:r>
        <w:t xml:space="preserve">6. Conclusion and Recommendations</w:t>
      </w:r>
    </w:p>
    <w:p>
      <w:pPr>
        <w:pStyle w:val="FirstParagraph"/>
      </w:pPr>
      <w:r>
        <w:t xml:space="preserve">This laboratory report confirms that while Barnaby is suffering from an inflammatory process likely of infectious or dietary origin, his vital organ functions remain intact. The negative fecal results allow us to focus on bacterial management rather than parasitic treatment.</w:t>
      </w:r>
    </w:p>
    <w:p>
      <w:pPr>
        <w:pStyle w:val="BodyText"/>
      </w:pPr>
      <w:r>
        <w:rPr>
          <w:bCs/>
          <w:b/>
        </w:rPr>
        <w:t xml:space="preserve">Recommended Next Steps:</w:t>
      </w:r>
    </w:p>
    <w:p>
      <w:pPr>
        <w:numPr>
          <w:ilvl w:val="0"/>
          <w:numId w:val="1002"/>
        </w:numPr>
        <w:pStyle w:val="Compact"/>
      </w:pPr>
      <w:r>
        <w:t xml:space="preserve">Dietary Restriction: Implement a bland diet for 48 hours to rest the gastrointestinal tract.</w:t>
      </w:r>
    </w:p>
    <w:p>
      <w:pPr>
        <w:numPr>
          <w:ilvl w:val="0"/>
          <w:numId w:val="1002"/>
        </w:numPr>
        <w:pStyle w:val="Compact"/>
      </w:pPr>
      <w:r>
        <w:t xml:space="preserve">Further Imaging: Schedule an abdominal ultrasound at our Frankfurt facility to rule out pancreatitis or intestinal obstructions.</w:t>
      </w:r>
    </w:p>
    <w:p>
      <w:pPr>
        <w:numPr>
          <w:ilvl w:val="0"/>
          <w:numId w:val="1002"/>
        </w:numPr>
        <w:pStyle w:val="Compact"/>
      </w:pPr>
      <w:r>
        <w:t xml:space="preserve">Monitoring : Monitor hydration levels and temperature twice daily. If fever persists above 39.5°C, immediate re-evaluation is required.</w:t>
      </w:r>
    </w:p>
    <w:p>
      <w:pPr>
        <w:pStyle w:val="FirstParagraph"/>
      </w:pPr>
      <w:r>
        <w:t xml:space="preserve">This report has been reviewed and signed by the Chief Veterinarian of the Central Veterinary Diagnostics Frankfurt facility in accordance with German veterinary medical standards. The integrity of this</w:t>
      </w:r>
      <w:r>
        <w:t xml:space="preserve"> </w:t>
      </w:r>
      <w:r>
        <w:t xml:space="preserve">Lab Report</w:t>
      </w:r>
      <w:r>
        <w:t xml:space="preserve"> </w:t>
      </w:r>
      <w:r>
        <w:t xml:space="preserve">ensures that Barnaby receives precise, ethical, and effective care within the jurisdiction of Germany.</w:t>
      </w:r>
    </w:p>
    <w:p>
      <w:pPr>
        <w:pStyle w:val="BodyText"/>
      </w:pPr>
      <w:r>
        <w:rPr>
          <w:iCs/>
          <w:i/>
        </w:rPr>
        <w:t xml:space="preserve">Central Veterinary Diagnostics Frankfurt - Ensuring Animal Health in Germany</w:t>
      </w:r>
      <w:r>
        <w:br/>
      </w:r>
      <w:r>
        <w:t xml:space="preserve">Address: Eschersheimer Landstraße 123, 60327 Frankfurt am Main, Deutschland</w:t>
      </w:r>
      <w:r>
        <w:br/>
      </w:r>
      <w:r>
        <w:t xml:space="preserve">Phone: +49 (0) 69-12345678 | Email: lab@cvdf-de.de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Frankfurt, Germany</dc:title>
  <dc:creator/>
  <dc:language>en</dc:language>
  <cp:keywords/>
  <dcterms:created xsi:type="dcterms:W3CDTF">2026-07-30T02:21:34Z</dcterms:created>
  <dcterms:modified xsi:type="dcterms:W3CDTF">2026-07-30T02:21:34Z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