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and</w:t>
      </w:r>
      <w:r>
        <w:t xml:space="preserve"> </w:t>
      </w:r>
      <w:r>
        <w:t xml:space="preserve">Clinical</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rPr>
          <w:bCs/>
          <w:b/>
        </w:rPr>
        <w:t xml:space="preserve">Institution:</w:t>
      </w:r>
      <w:r>
        <w:t xml:space="preserve"> </w:t>
      </w:r>
      <w:r>
        <w:t xml:space="preserve">Center for Veterinary Diagnostics and Public Health</w:t>
      </w:r>
      <w:r>
        <w:br/>
      </w:r>
      <w:r>
        <w:rPr>
          <w:bCs/>
          <w:b/>
        </w:rPr>
        <w:t xml:space="preserve">Jurisdiction:</w:t>
      </w:r>
      <w:r>
        <w:t xml:space="preserve"> </w:t>
      </w:r>
      <w:r>
        <w:t xml:space="preserve">Tehran Provincial Department of Environment &amp; Ministry of Agriculture Jihad</w:t>
      </w:r>
      <w:r>
        <w:br/>
      </w:r>
      <w:r>
        <w:rPr>
          <w:bCs/>
          <w:b/>
        </w:rPr>
        <w:t xml:space="preserve">Date of Report:</w:t>
      </w:r>
      <w:bookmarkStart w:id="20" w:name="date"/>
      <w:bookmarkEnd w:id="20"/>
    </w:p>
    <w:p>
      <w:pPr>
        <w:pStyle w:val="BodyText"/>
      </w:pPr>
      <w:r>
        <w:br/>
      </w:r>
      <w:r>
        <w:rPr>
          <w:bCs/>
          <w:b/>
        </w:rPr>
        <w:t xml:space="preserve">Laboratory ID:</w:t>
      </w:r>
      <w:r>
        <w:t xml:space="preserve"> </w:t>
      </w:r>
      <w:r>
        <w:t xml:space="preserve">IR-TEH-VET-2023-894</w:t>
      </w:r>
      <w:r>
        <w:br/>
      </w:r>
      <w:r>
        <w:rPr>
          <w:bCs/>
          <w:b/>
        </w:rPr>
        <w:t xml:space="preserve">Status:</w:t>
      </w:r>
      <w:r>
        <w:t xml:space="preserve"> </w:t>
      </w:r>
      <w:r>
        <w:t xml:space="preserve">Final Analysis</w:t>
      </w:r>
    </w:p>
    <w:bookmarkStart w:id="30" w:name="X4fac69dd59d582ce476e84297cd55d7610f3bfc"/>
    <w:p>
      <w:pPr>
        <w:pStyle w:val="Heading1"/>
      </w:pPr>
      <w:r>
        <w:t xml:space="preserve">Laboratory Report: Veterinary Diagnostic and Clinical Analysis in Iran, Tehran</w:t>
      </w:r>
    </w:p>
    <w:p>
      <w:pPr>
        <w:pStyle w:val="FirstParagraph"/>
      </w:pPr>
      <w:r>
        <w:rPr>
          <w:bCs/>
          <w:b/>
        </w:rPr>
        <w:t xml:space="preserve">Purpose:</w:t>
      </w:r>
    </w:p>
    <w:p>
      <w:pPr>
        <w:pStyle w:val="BodyText"/>
      </w:pPr>
      <w:r>
        <w:t xml:space="preserve">The primary objective of this laboratory report is to document the comprehensive diagnostic procedures, clinical findings, and epidemiological assessments conducted by certified veterinarians within the metropolitan region of Iran, specifically Tehran. As the capital city and a major hub for trade and population density in Iran Tehran presents unique challenges regarding animal health surveillance. This report outlines the rigorous standards applied in local veterinary clinics and reference laboratories to ensure public safety, zoonotic disease prevention, and animal welfare compliance.</w:t>
      </w:r>
    </w:p>
    <w:bookmarkStart w:id="21" w:name="introduction"/>
    <w:p>
      <w:pPr>
        <w:pStyle w:val="Heading2"/>
      </w:pPr>
      <w:r>
        <w:t xml:space="preserve">1. Introduction</w:t>
      </w:r>
    </w:p>
    <w:p>
      <w:pPr>
        <w:pStyle w:val="FirstParagraph"/>
      </w:pPr>
      <w:r>
        <w:t xml:space="preserve">Veterinary medicine plays a critical role in public health systems globally, but its significance is amplified in densely populated urban centers like Tehran. The interaction between companion animals, livestock transported through the central markets of Iran Tehran, and wildlife creates complex transmission pathways for infectious diseases. This laboratory report serves as a formal record of clinical evaluations performed under the regulatory framework established by Iranian veterinary authorities. It highlights the specific methodologies used to diagnose conditions prevalent in this geographic region, ensuring that all 'Veterinarian' practitioners adhere to international best practices adapted for local conditions.</w:t>
      </w:r>
    </w:p>
    <w:bookmarkEnd w:id="21"/>
    <w:bookmarkStart w:id="22" w:name="methodology-and-laboratory-facilities"/>
    <w:p>
      <w:pPr>
        <w:pStyle w:val="Heading2"/>
      </w:pPr>
      <w:r>
        <w:t xml:space="preserve">2. Methodology and Laboratory Facilities</w:t>
      </w:r>
    </w:p>
    <w:p>
      <w:pPr>
        <w:pStyle w:val="FirstParagraph"/>
      </w:pPr>
      <w:r>
        <w:t xml:space="preserve">All procedures described herein were conducted using state-of-the-art equipment available at accredited facilities in Tehran. The laboratory setup includes high-resolution digital radiography, automated hematology analyzers, polymerase chain reaction (PCR) units for pathogen detection, and biochemical profiling systems. Given the specific environmental conditions of Iran Tehran—which include distinct seasonal variations and urban air quality concerns—the diagnostic protocols were adjusted to account for respiratory stressors common in both canine and feline populations.</w:t>
      </w:r>
    </w:p>
    <w:p>
      <w:pPr>
        <w:pStyle w:val="BodyText"/>
      </w:pPr>
      <w:r>
        <w:t xml:space="preserve">Sample collection was performed by licensed veterinarians following strict aseptic techniques. Blood, urine, tissue biopsies, and swabs were processed within two hours of collection to ensure sample integrity. The laboratory adheres to the quality management standards required for veterinary diagnostic services in Iran Tehran, ensuring traceability and accuracy in all reported results.</w:t>
      </w:r>
    </w:p>
    <w:bookmarkEnd w:id="22"/>
    <w:bookmarkStart w:id="26" w:name="clinical-case-studies-and-findings"/>
    <w:p>
      <w:pPr>
        <w:pStyle w:val="Heading2"/>
      </w:pPr>
      <w:r>
        <w:t xml:space="preserve">3. Clinical Case Studies and Findings</w:t>
      </w:r>
    </w:p>
    <w:p>
      <w:pPr>
        <w:pStyle w:val="FirstParagraph"/>
      </w:pPr>
      <w:r>
        <w:t xml:space="preserve">This section details three representative cases analyzed within this reporting period, reflecting common presentations observed by veterinarians across the region.</w:t>
      </w:r>
    </w:p>
    <w:bookmarkStart w:id="23" w:name="X337f594b92174ed76577dc3a21289ad073d2512"/>
    <w:p>
      <w:pPr>
        <w:pStyle w:val="Heading3"/>
      </w:pPr>
      <w:r>
        <w:t xml:space="preserve">Clinical Case 1: Canine Parvovirus Outbreak Monitoring</w:t>
      </w:r>
    </w:p>
    <w:p>
      <w:pPr>
        <w:pStyle w:val="FirstParagraph"/>
      </w:pPr>
      <w:r>
        <w:rPr>
          <w:bCs/>
          <w:b/>
        </w:rPr>
        <w:t xml:space="preserve">Patient History:</w:t>
      </w:r>
      <w:r>
        <w:t xml:space="preserve"> </w:t>
      </w:r>
      <w:r>
        <w:t xml:space="preserve">A six-week-old mixed-breed puppy presented to a veterinary clinic in northern Tehran with severe lethargy, hemorrhagic diarrhea, and dehydration. The owner reported incomplete vaccination history.</w:t>
      </w:r>
    </w:p>
    <w:p>
      <w:pPr>
        <w:pStyle w:val="BodyText"/>
      </w:pPr>
      <w:r>
        <w:rPr>
          <w:bCs/>
          <w:b/>
        </w:rPr>
        <w:t xml:space="preserve">Laboratory Findings:</w:t>
      </w:r>
      <w:r>
        <w:t xml:space="preserve"> </w:t>
      </w:r>
      <w:r>
        <w:t xml:space="preserve">Rapid ELISA testing confirmed the presence of Canine Parvovirus type 2 (CPV-2). Complete Blood Count (CBC) revealed severe leukopenia, with a white blood cell count significantly below the normal reference range for healthy dogs in Iran Tehran. Biochemical analysis indicated elevated liver enzymes due to systemic inflammatory response.</w:t>
      </w:r>
    </w:p>
    <w:p>
      <w:pPr>
        <w:pStyle w:val="BodyText"/>
      </w:pPr>
      <w:r>
        <w:rPr>
          <w:bCs/>
          <w:b/>
        </w:rPr>
        <w:t xml:space="preserve">Veterinarian Assessment:</w:t>
      </w:r>
      <w:r>
        <w:t xml:space="preserve"> </w:t>
      </w:r>
      <w:r>
        <w:t xml:space="preserve">The attending veterinarian initiated aggressive fluid therapy and antibiotics to prevent secondary bacterial infections. The case underscores the importance of vaccination campaigns in urban areas of Iran Tehran, where high population density facilitates viral transmission among unvaccinated animals.</w:t>
      </w:r>
    </w:p>
    <w:bookmarkEnd w:id="23"/>
    <w:bookmarkStart w:id="24" w:name="Xdc543ee6bdbb6b2aa7fe4308a3f8de13e137cdd"/>
    <w:p>
      <w:pPr>
        <w:pStyle w:val="Heading3"/>
      </w:pPr>
      <w:r>
        <w:t xml:space="preserve">Clinical Case 2: Feline Chronic Kidney Disease (CKD) Prevalence</w:t>
      </w:r>
    </w:p>
    <w:p>
      <w:pPr>
        <w:pStyle w:val="FirstParagraph"/>
      </w:pPr>
      <w:r>
        <w:rPr>
          <w:bCs/>
          <w:b/>
        </w:rPr>
        <w:t xml:space="preserve">Patient History:</w:t>
      </w:r>
      <w:r>
        <w:t xml:space="preserve"> </w:t>
      </w:r>
      <w:r>
        <w:t xml:space="preserve">A ten-year-old male neutered Persian cat presented for a routine wellness check in central Tehran. Owners noted increased water intake and mild weight loss over the preceding three months.</w:t>
      </w:r>
    </w:p>
    <w:p>
      <w:pPr>
        <w:pStyle w:val="BodyText"/>
      </w:pPr>
      <w:r>
        <w:rPr>
          <w:bCs/>
          <w:b/>
        </w:rPr>
        <w:t xml:space="preserve">Laboratory Findings:</w:t>
      </w:r>
      <w:r>
        <w:t xml:space="preserve"> </w:t>
      </w:r>
      <w:r>
        <w:t xml:space="preserve">Serum biochemical profiling showed elevated creatinine and blood urea nitrogen (BUN) levels, consistent with Stage 2 Chronic Kidney Disease. Urinalysis revealed isosthenuria, indicating an inability to concentrate urine. Additional testing for proteinuria was negative.</w:t>
      </w:r>
    </w:p>
    <w:p>
      <w:pPr>
        <w:pStyle w:val="BodyText"/>
      </w:pPr>
      <w:r>
        <w:rPr>
          <w:bCs/>
          <w:b/>
        </w:rPr>
        <w:t xml:space="preserve">Veterinarian Assessment:</w:t>
      </w:r>
      <w:r>
        <w:t xml:space="preserve"> </w:t>
      </w:r>
      <w:r>
        <w:t xml:space="preserve">The veterinarian diagnosed early-stage CKD, a condition increasingly prevalent in older cats within Iran Tehran due to genetic predispositions in Persian breeds and potential dietary factors. Management plans included prescription renal diets and regular monitoring of blood pressure to mitigate hypertensive risks.</w:t>
      </w:r>
    </w:p>
    <w:bookmarkEnd w:id="24"/>
    <w:bookmarkStart w:id="25" w:name="X3ef8f2bdc5d4ec5f59ceabcd1368de3a2de3055"/>
    <w:p>
      <w:pPr>
        <w:pStyle w:val="Heading3"/>
      </w:pPr>
      <w:r>
        <w:t xml:space="preserve">Clinical Case 3: Zoonotic Brucellosis Screening</w:t>
      </w:r>
    </w:p>
    <w:p>
      <w:pPr>
        <w:pStyle w:val="FirstParagraph"/>
      </w:pPr>
      <w:r>
        <w:rPr>
          <w:bCs/>
          <w:b/>
        </w:rPr>
        <w:t xml:space="preserve">Patient History:</w:t>
      </w:r>
      <w:r>
        <w:t xml:space="preserve"> </w:t>
      </w:r>
      <w:r>
        <w:t xml:space="preserve">A dairy cow from a suburban farm on the outskirts of Tehran was submitted for routine herd health screening. The animal had shown intermittent fever and reduced milk production.</w:t>
      </w:r>
    </w:p>
    <w:p>
      <w:pPr>
        <w:pStyle w:val="BodyText"/>
      </w:pPr>
      <w:r>
        <w:rPr>
          <w:bCs/>
          <w:b/>
        </w:rPr>
        <w:t xml:space="preserve">Laboratory Findings:</w:t>
      </w:r>
      <w:r>
        <w:t xml:space="preserve"> </w:t>
      </w:r>
      <w:r>
        <w:t xml:space="preserve">Serum samples were tested using Rose Bengal Plate Test (RBPT) and confirmed positive via Complement Fixation Test (CFT). This confirms infection with *Brucella melitensis*.</w:t>
      </w:r>
    </w:p>
    <w:p>
      <w:pPr>
        <w:pStyle w:val="BodyText"/>
      </w:pPr>
      <w:r>
        <w:rPr>
          <w:bCs/>
          <w:b/>
        </w:rPr>
        <w:t xml:space="preserve">Veterinarian Assessment:</w:t>
      </w:r>
      <w:r>
        <w:t xml:space="preserve"> </w:t>
      </w:r>
      <w:r>
        <w:t xml:space="preserve">Immediate isolation of the animal was enforced. The veterinarian notified local agricultural authorities in Iran Tehran, triggering a herd-wide quarantine. This case highlights the critical role of veterinarians as sentinels for zoonotic diseases that pose significant risks to human public health.</w:t>
      </w:r>
    </w:p>
    <w:bookmarkEnd w:id="25"/>
    <w:bookmarkEnd w:id="26"/>
    <w:bookmarkStart w:id="27" w:name="epidemiological-trends-in-tehran"/>
    <w:p>
      <w:pPr>
        <w:pStyle w:val="Heading2"/>
      </w:pPr>
      <w:r>
        <w:t xml:space="preserve">4. Epidemiological Trends in Tehran</w:t>
      </w:r>
    </w:p>
    <w:p>
      <w:pPr>
        <w:pStyle w:val="FirstParagraph"/>
      </w:pPr>
      <w:r>
        <w:t xml:space="preserve">Data aggregated from multiple veterinary clinics across Iran Tehran indicates a rising trend in respiratory disorders among companion animals, potentially linked to seasonal pollution levels. Furthermore, there remains a steady incidence of vector-borne diseases such as Leishmaniasis and Tick-Borne Rickettsiosis. The laboratory report emphasizes the need for continuous surveillance by veterinarians to track these epidemiological shifts. Public education regarding tick prevention and respiratory health management is being integrated into standard veterinary care protocols in the region.</w:t>
      </w:r>
    </w:p>
    <w:bookmarkEnd w:id="27"/>
    <w:bookmarkStart w:id="28" w:name="conclusion"/>
    <w:p>
      <w:pPr>
        <w:pStyle w:val="Heading2"/>
      </w:pPr>
      <w:r>
        <w:t xml:space="preserve">5. Conclusion</w:t>
      </w:r>
    </w:p>
    <w:p>
      <w:pPr>
        <w:pStyle w:val="FirstParagraph"/>
      </w:pPr>
      <w:r>
        <w:t xml:space="preserve">This laboratory report confirms that veterinary diagnostic capabilities in Iran Tehran are robust and essential for maintaining both animal welfare and public health safety. The cases presented demonstrate the diversity of clinical challenges faced by veterinarians in this urban environment, ranging from viral outbreaks to chronic metabolic diseases and zoonotic risks. Adherence to rigorous laboratory standards ensures that diagnoses are accurate and treatments are evidence-based.</w:t>
      </w:r>
    </w:p>
    <w:p>
      <w:pPr>
        <w:pStyle w:val="BodyText"/>
      </w:pPr>
      <w:r>
        <w:t xml:space="preserve">It is recommended that veterinary practices across Iran Tehran continue to invest in advanced diagnostic technologies and ongoing professional education for veterinarians. Collaboration between private veterinary clinics, public health agencies, and academic institutions will further enhance the capacity to manage emerging health threats. The data provided in this report serves as a foundation for future policy-making regarding animal health regulations in the capital city.</w:t>
      </w:r>
    </w:p>
    <w:bookmarkEnd w:id="28"/>
    <w:bookmarkStart w:id="29" w:name="signatures-and-certification"/>
    <w:p>
      <w:pPr>
        <w:pStyle w:val="Heading2"/>
      </w:pPr>
      <w:r>
        <w:t xml:space="preserve">6. Signatures and Certification</w:t>
      </w:r>
    </w:p>
    <w:p>
      <w:pPr>
        <w:pStyle w:val="FirstParagraph"/>
      </w:pPr>
      <w:r>
        <w:t xml:space="preserve">This document certifies that all analyses were performed by qualified professionals under the supervision of senior veterinary pathologists. The findings are accurate to the best of our knowledge based on samples received from clients within Iran Tehran.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Name and Title</w:t>
            </w:r>
          </w:p>
        </w:tc>
        <w:tc>
          <w:tcPr/>
          <w:p>
            <w:pPr>
              <w:pStyle w:val="Compact"/>
              <w:jc w:val="center"/>
            </w:pPr>
            <w:r>
              <w:t xml:space="preserve">Signature and Date</w:t>
            </w:r>
          </w:p>
        </w:tc>
      </w:tr>
      <w:tr>
        <w:tc>
          <w:tcPr/>
          <w:p>
            <w:pPr>
              <w:pStyle w:val="Compact"/>
              <w:jc w:val="left"/>
            </w:pPr>
            <w:r>
              <w:rPr>
                <w:bCs/>
                <w:b/>
              </w:rPr>
              <w:t xml:space="preserve">Veterinarian-in-Chief</w:t>
            </w:r>
            <w:r>
              <w:br/>
            </w:r>
            <w:r>
              <w:t xml:space="preserve">Licensed Veterinarian, Tehran Province</w:t>
            </w:r>
            <w:r>
              <w:br/>
            </w:r>
            <w:r>
              <w:t xml:space="preserve">ID: IR-VET-9921</w:t>
            </w:r>
            <w:r>
              <w:br/>
            </w:r>
            <w:r>
              <w:t xml:space="preserve">Contact: chief.vet@tehran-lab.ir</w:t>
            </w:r>
          </w:p>
        </w:tc>
        <w:tc>
          <w:tcPr/>
          <w:p>
            <w:pPr>
              <w:pStyle w:val="Compact"/>
              <w:jc w:val="center"/>
            </w:pPr>
            <w:r>
              <w:t xml:space="preserve">___________________________</w:t>
            </w:r>
            <w:r>
              <w:br/>
            </w:r>
            <w:r>
              <w:br/>
            </w:r>
            <w:r>
              <w:t xml:space="preserve">Dr. A. Rezaei</w:t>
            </w:r>
            <w:r>
              <w:br/>
            </w:r>
            <w:r>
              <w:t xml:space="preserve">10/24/2023</w:t>
            </w:r>
          </w:p>
        </w:tc>
      </w:tr>
      <w:tr>
        <w:tc>
          <w:tcPr/>
          <w:p>
            <w:pPr>
              <w:pStyle w:val="Compact"/>
              <w:jc w:val="left"/>
            </w:pPr>
            <w:r>
              <w:rPr>
                <w:bCs/>
                <w:b/>
              </w:rPr>
              <w:t xml:space="preserve">Laboratory Director</w:t>
            </w:r>
            <w:r>
              <w:br/>
            </w:r>
            <w:r>
              <w:t xml:space="preserve">Clinical Pathology Specialist</w:t>
            </w:r>
            <w:r>
              <w:br/>
            </w:r>
            <w:r>
              <w:t xml:space="preserve">ID: IR-LAB-5543</w:t>
            </w:r>
          </w:p>
        </w:tc>
        <w:tc>
          <w:tcPr/>
          <w:p>
            <w:pPr>
              <w:pStyle w:val="Compact"/>
              <w:jc w:val="center"/>
            </w:pPr>
            <w:r>
              <w:t xml:space="preserve">___________________________</w:t>
            </w:r>
            <w:r>
              <w:br/>
            </w:r>
            <w:r>
              <w:br/>
            </w:r>
            <w:r>
              <w:t xml:space="preserve">Dr. S. Karimi</w:t>
            </w:r>
            <w:r>
              <w:br/>
            </w:r>
            <w:r>
              <w:t xml:space="preserve">10/24/2023</w:t>
            </w:r>
          </w:p>
        </w:tc>
      </w:tr>
    </w:tbl>
    <w:p>
      <w:pPr>
        <w:pStyle w:val="BodyText"/>
      </w:pPr>
      <w:r>
        <w:rPr>
          <w:iCs/>
          <w:i/>
        </w:rPr>
        <w:t xml:space="preserve">This document is confidential and intended solely for the use of the client and relevant veterinary authorities in Iran Tehran. Unauthorized reproduction or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and Clinical Analysis in Iran, Tehran</dc:title>
  <dc:creator/>
  <dc:language>en</dc:language>
  <cp:keywords/>
  <dcterms:created xsi:type="dcterms:W3CDTF">2026-07-29T12:40:42Z</dcterms:created>
  <dcterms:modified xsi:type="dcterms:W3CDTF">2026-07-29T12:40:42Z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