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Laboratory</w:t>
      </w:r>
      <w:r>
        <w:t xml:space="preserve"> </w:t>
      </w:r>
      <w:r>
        <w:t xml:space="preserve">Report:</w:t>
      </w:r>
      <w:r>
        <w:t xml:space="preserve"> </w:t>
      </w:r>
      <w:r>
        <w:t xml:space="preserve">Clinical</w:t>
      </w:r>
      <w:r>
        <w:t xml:space="preserve"> </w:t>
      </w:r>
      <w:r>
        <w:t xml:space="preserve">Analysis</w:t>
      </w:r>
      <w:r>
        <w:t xml:space="preserve"> </w:t>
      </w:r>
      <w:r>
        <w:t xml:space="preserve">in</w:t>
      </w:r>
      <w:r>
        <w:t xml:space="preserve"> </w:t>
      </w:r>
      <w:r>
        <w:t xml:space="preserve">Italy,</w:t>
      </w:r>
      <w:r>
        <w:t xml:space="preserve"> </w:t>
      </w:r>
      <w:r>
        <w:t xml:space="preserve">Naples</w:t>
      </w:r>
    </w:p>
    <w:bookmarkStart w:id="31" w:name="veterinary-laboratory-report"/>
    <w:p>
      <w:pPr>
        <w:pStyle w:val="Heading1"/>
      </w:pPr>
      <w:r>
        <w:t xml:space="preserve">Veterinary Laboratory Report</w:t>
      </w:r>
    </w:p>
    <w:p>
      <w:pPr>
        <w:pStyle w:val="FirstParagraph"/>
      </w:pPr>
      <w:r>
        <w:rPr>
          <w:bCs/>
          <w:b/>
        </w:rPr>
        <w:t xml:space="preserve">Date:</w:t>
      </w:r>
      <w:r>
        <w:t xml:space="preserve"> </w:t>
      </w:r>
      <w:r>
        <w:t xml:space="preserve">October 14, 2023</w:t>
      </w:r>
    </w:p>
    <w:p>
      <w:pPr>
        <w:pStyle w:val="BodyText"/>
      </w:pPr>
      <w:r>
        <w:rPr>
          <w:bCs/>
          <w:b/>
        </w:rPr>
        <w:t xml:space="preserve">Patient ID:</w:t>
      </w:r>
      <w:r>
        <w:t xml:space="preserve"> </w:t>
      </w:r>
      <w:r>
        <w:t xml:space="preserve">NAP-992-ALPHA</w:t>
      </w:r>
    </w:p>
    <w:p>
      <w:pPr>
        <w:pStyle w:val="BodyText"/>
      </w:pPr>
      <w:r>
        <w:rPr>
          <w:bCs/>
          <w:b/>
        </w:rPr>
        <w:t xml:space="preserve">Clinic Location:</w:t>
      </w:r>
      <w:r>
        <w:t xml:space="preserve"> </w:t>
      </w:r>
      <w:r>
        <w:t xml:space="preserve">Naples, Italy (Southern Region)</w:t>
      </w:r>
    </w:p>
    <w:p>
      <w:pPr>
        <w:pStyle w:val="BodyText"/>
      </w:pPr>
      <w:r>
        <w:t xml:space="preserve">This document serves as an official Veterinary Laboratory Report generated for a clinical case study conducted in the metropolitan area of Naples, Italy. The report details the diagnostic procedures, laboratory findings, and subsequent veterinary recommendations for a domestic patient presenting with acute gastrointestinal distress. As requested, this analysis adheres strictly to European Union veterinary standards while accounting for specific regional epidemiological factors prevalent in Southern Italy.</w:t>
      </w:r>
    </w:p>
    <w:bookmarkStart w:id="21" w:name="patient-information-and-history"/>
    <w:p>
      <w:pPr>
        <w:pStyle w:val="Heading2"/>
      </w:pPr>
      <w:r>
        <w:t xml:space="preserve">1. Patient Information and History</w:t>
      </w:r>
    </w:p>
    <w:p>
      <w:pPr>
        <w:pStyle w:val="FirstParagraph"/>
      </w:pPr>
      <w:r>
        <w:rPr>
          <w:bCs/>
          <w:b/>
        </w:rPr>
        <w:t xml:space="preserve">Patient Name:</w:t>
      </w:r>
      <w:r>
        <w:t xml:space="preserve"> </w:t>
      </w:r>
      <w:r>
        <w:t xml:space="preserve">"Brio"</w:t>
      </w:r>
    </w:p>
    <w:p>
      <w:pPr>
        <w:pStyle w:val="BodyText"/>
      </w:pPr>
      <w:r>
        <w:rPr>
          <w:bCs/>
          <w:b/>
        </w:rPr>
        <w:t xml:space="preserve">Type:</w:t>
      </w:r>
      <w:r>
        <w:t xml:space="preserve"> </w:t>
      </w:r>
      <w:r>
        <w:t xml:space="preserve">Domestic Cat (Felis catus)</w:t>
      </w:r>
    </w:p>
    <w:p>
      <w:pPr>
        <w:pStyle w:val="BodyText"/>
      </w:pPr>
      <w:r>
        <w:rPr>
          <w:bCs/>
          <w:b/>
        </w:rPr>
        <w:t xml:space="preserve">Breed:</w:t>
      </w:r>
      <w:r>
        <w:t xml:space="preserve"> </w:t>
      </w:r>
      <w:r>
        <w:t xml:space="preserve">European Shorthair</w:t>
      </w:r>
    </w:p>
    <w:p>
      <w:pPr>
        <w:pStyle w:val="BodyText"/>
      </w:pPr>
      <w:r>
        <w:t xml:space="preserve">Age/Sex/Weight: 4 years / Male, Neutered / 5.2 kg</w:t>
      </w:r>
    </w:p>
    <w:p>
      <w:pPr>
        <w:pStyle w:val="BodyText"/>
      </w:pPr>
      <w:r>
        <w:t xml:space="preserve">Vaccination Status: Up to date (Rabies, Feline Panleukopenia, Calicivirus, Herpesvirus)</w:t>
      </w:r>
    </w:p>
    <w:p>
      <w:pPr>
        <w:pStyle w:val="BodyText"/>
      </w:pPr>
      <w:r>
        <w:br/>
      </w:r>
    </w:p>
    <w:bookmarkStart w:id="20" w:name="clinical-history"/>
    <w:p>
      <w:pPr>
        <w:pStyle w:val="Heading3"/>
      </w:pPr>
      <w:r>
        <w:t xml:space="preserve">Clinical History</w:t>
      </w:r>
    </w:p>
    <w:p>
      <w:pPr>
        <w:pStyle w:val="FirstParagraph"/>
      </w:pPr>
      <w:r>
        <w:t xml:space="preserve">The patient was presented at the veterinary clinic in Naples following a sudden onset of lethargy and repeated vomiting over the past 48 hours. The owner reported that Brio has been eating less than usual and showed signs of abdominal discomfort when palpated near the flank region. Notably, there have been no changes in diet, nor has the cat accessed potential household toxins or foreign bodies. However, it is worth noting that Brio resides in a historic center apartment where window access to small birds or insects cannot be entirely ruled out.</w:t>
      </w:r>
    </w:p>
    <w:bookmarkEnd w:id="20"/>
    <w:bookmarkEnd w:id="21"/>
    <w:bookmarkStart w:id="22" w:name="physical-examination-findings"/>
    <w:p>
      <w:pPr>
        <w:pStyle w:val="Heading2"/>
      </w:pPr>
      <w:r>
        <w:t xml:space="preserve">2. Physical Examination Findings</w:t>
      </w:r>
    </w:p>
    <w:p>
      <w:pPr>
        <w:pStyle w:val="FirstParagraph"/>
      </w:pPr>
      <w:r>
        <w:t xml:space="preserve">The initial physical examination was conducted by Dr. Elena Rossi, a licensed veterinarian specializing in internal medicine within the Campania region of Italy. The following vital signs and observations were recorded:</w:t>
      </w:r>
    </w:p>
    <w:p>
      <w:pPr>
        <w:numPr>
          <w:ilvl w:val="0"/>
          <w:numId w:val="1001"/>
        </w:numPr>
        <w:pStyle w:val="Compact"/>
      </w:pPr>
      <w:r>
        <w:rPr>
          <w:bCs/>
          <w:b/>
        </w:rPr>
        <w:t xml:space="preserve">Body Temperature:</w:t>
      </w:r>
      <w:r>
        <w:t xml:space="preserve"> </w:t>
      </w:r>
      <w:r>
        <w:t xml:space="preserve">39.1°C (Slightly elevated; normal range for cats is 38.0–39.2°C, indicating potential low-grade fever).</w:t>
      </w:r>
    </w:p>
    <w:p>
      <w:pPr>
        <w:numPr>
          <w:ilvl w:val="0"/>
          <w:numId w:val="1001"/>
        </w:numPr>
        <w:pStyle w:val="Compact"/>
      </w:pPr>
      <w:r>
        <w:rPr>
          <w:bCs/>
          <w:b/>
        </w:rPr>
        <w:t xml:space="preserve">Pulse Rate:</w:t>
      </w:r>
      <w:r>
        <w:t xml:space="preserve"> </w:t>
      </w:r>
      <w:r>
        <w:t xml:space="preserve">140 beats per minute (Tachycardic, likely due to pain or dehydration).</w:t>
      </w:r>
    </w:p>
    <w:p>
      <w:pPr>
        <w:numPr>
          <w:ilvl w:val="0"/>
          <w:numId w:val="1001"/>
        </w:numPr>
        <w:pStyle w:val="Compact"/>
      </w:pPr>
      <w:r>
        <w:t xml:space="preserve">Mucous Membranes: Pale pink with slight capillary refill time delay (&gt;2 seconds), suggesting mild dehydration.</w:t>
      </w:r>
    </w:p>
    <w:p>
      <w:pPr>
        <w:numPr>
          <w:ilvl w:val="0"/>
          <w:numId w:val="1001"/>
        </w:numPr>
        <w:pStyle w:val="Compact"/>
      </w:pPr>
      <w:r>
        <w:t xml:space="preserve">Abdominal Palpation: Generalized abdominal pain noted, particularly in the cranial abdomen. No masses were detected.</w:t>
      </w:r>
    </w:p>
    <w:p>
      <w:pPr>
        <w:numPr>
          <w:ilvl w:val="0"/>
          <w:numId w:val="1001"/>
        </w:numPr>
        <w:pStyle w:val="Compact"/>
      </w:pPr>
      <w:r>
        <w:t xml:space="preserve">Dental Exam: Mild gingivitis observed, but no significant tooth resorption or oral ulcers consistent with Feline Calicivirus.</w:t>
      </w:r>
    </w:p>
    <w:bookmarkEnd w:id="22"/>
    <w:bookmarkStart w:id="26" w:name="diagnostic-laboratory-procedures"/>
    <w:p>
      <w:pPr>
        <w:pStyle w:val="Heading2"/>
      </w:pPr>
      <w:r>
        <w:t xml:space="preserve">3. Diagnostic Laboratory Procedures</w:t>
      </w:r>
    </w:p>
    <w:p>
      <w:pPr>
        <w:pStyle w:val="FirstParagraph"/>
      </w:pPr>
      <w:r>
        <w:t xml:space="preserve">To determine the underlying cause of the gastrointestinal distress, a comprehensive panel of laboratory tests was initiated. These procedures were performed in accordance with standard operating protocols for veterinary medicine in Italy.</w:t>
      </w:r>
    </w:p>
    <w:bookmarkStart w:id="23" w:name="complete-blood-count-cbc"/>
    <w:p>
      <w:pPr>
        <w:pStyle w:val="Heading3"/>
      </w:pPr>
      <w:r>
        <w:t xml:space="preserve">3.1 Complete Blood Count (CBC)</w:t>
      </w:r>
    </w:p>
    <w:p>
      <w:pPr>
        <w:pStyle w:val="FirstParagraph"/>
      </w:pPr>
      <w:r>
        <w:t xml:space="preserve">CBC Parameter</w:t>
      </w:r>
    </w:p>
    <w:bookmarkEnd w:id="23"/>
    <w:p>
      <w:pPr>
        <w:pStyle w:val="BodyText"/>
      </w:pPr>
      <w:r>
        <w:t xml:space="preserve">Patient Result</w:t>
      </w:r>
    </w:p>
    <w:p>
      <w:pPr>
        <w:pStyle w:val="BodyText"/>
      </w:pPr>
      <w:r>
        <w:t xml:space="preserve">Reference Range</w:t>
      </w:r>
    </w:p>
    <w:p>
      <w:pPr>
        <w:pStyle w:val="BodyText"/>
      </w:pPr>
      <w:r>
        <w:t xml:space="preserve">CBC Parameter</w:t>
      </w:r>
    </w:p>
    <w:p>
      <w:pPr>
        <w:pStyle w:val="BodyText"/>
      </w:pPr>
      <w:r>
        <w:t xml:space="preserve">Patient Result</w:t>
      </w:r>
    </w:p>
    <w:p>
      <w:pPr>
        <w:pStyle w:val="BodyText"/>
      </w:pPr>
      <w:r>
        <w:t xml:space="preserve">Reference Range (Cat)</w:t>
      </w:r>
    </w:p>
    <w:p>
      <w:pPr>
        <w:pStyle w:val="BodyText"/>
      </w:pPr>
      <w:r>
        <w:t xml:space="preserve">CBC Parameter</w:t>
      </w:r>
    </w:p>
    <w:p>
      <w:pPr>
        <w:pStyle w:val="BodyText"/>
      </w:pPr>
      <w:r>
        <w:t xml:space="preserve">Patient Result</w:t>
      </w:r>
    </w:p>
    <w:p>
      <w:pPr>
        <w:pStyle w:val="BodyText"/>
      </w:pPr>
      <w:r>
        <w:t xml:space="preserve">&lt; normal=""&gt;Reference Range (Cat)</w:t>
      </w:r>
    </w:p>
    <w:p>
      <w:pPr>
        <w:pStyle w:val="BodyText"/>
      </w:pPr>
      <w:r>
        <w:t xml:space="preserve">CBC Parameter</w:t>
      </w:r>
    </w:p>
    <w:p>
      <w:pPr>
        <w:pStyle w:val="BodyText"/>
      </w:pPr>
      <w:r>
        <w:t xml:space="preserve">Patient Result</w:t>
      </w:r>
    </w:p>
    <w:p>
      <w:pPr>
        <w:pStyle w:val="BodyText"/>
      </w:pPr>
      <w:r>
        <w:t xml:space="preserve">&lt; normal=""&gt;Reference Range (Cat)</w:t>
      </w:r>
    </w:p>
    <w:p>
      <w:pPr>
        <w:pStyle w:val="BodyText"/>
      </w:pPr>
      <w:r>
        <w:t xml:space="preserve">CBC Parameter</w:t>
      </w:r>
    </w:p>
    <w:p>
      <w:pPr>
        <w:pStyle w:val="BodyText"/>
      </w:pPr>
      <w:r>
        <w:t xml:space="preserve">&lt; th=""&gt;Patient Result&lt; br&gt;&lt; normal=""&gt;Reference Range (Cat)</w:t>
      </w:r>
    </w:p>
    <w:p>
      <w:pPr>
        <w:pStyle w:val="BodyText"/>
      </w:pPr>
      <w:r>
        <w:t xml:space="preserve">CBC Parameter</w:t>
      </w:r>
    </w:p>
    <w:p>
      <w:pPr>
        <w:pStyle w:val="BodyText"/>
      </w:pPr>
      <w:r>
        <w:t xml:space="preserve">th=""&gt;Patient Result</w:t>
      </w:r>
    </w:p>
    <w:p>
      <w:pPr>
        <w:pStyle w:val="BodyText"/>
      </w:pPr>
      <w:r>
        <w:t xml:space="preserve">th=""&gt;Reference Range (Cat)</w:t>
      </w:r>
    </w:p>
    <w:p>
      <w:pPr>
        <w:pStyle w:val="BodyText"/>
      </w:pPr>
      <w:r>
        <w:rPr>
          <w:bCs/>
          <w:b/>
        </w:rPr>
        <w:t xml:space="preserve">CBC Parameter</w:t>
      </w:r>
      <w:r>
        <w:t xml:space="preserve">&lt; th=""&gt;Patient Result</w:t>
      </w:r>
    </w:p>
    <w:p>
      <w:pPr>
        <w:pStyle w:val="BodyText"/>
      </w:pPr>
      <w:r>
        <w:t xml:space="preserve">th=""&gt;Reference Range (Cat)</w:t>
      </w:r>
    </w:p>
    <w:p>
      <w:pPr>
        <w:pStyle w:val="BodyText"/>
      </w:pPr>
      <w:r>
        <w:t xml:space="preserve">CBC Parameter</w:t>
      </w:r>
    </w:p>
    <w:p>
      <w:pPr>
        <w:pStyle w:val="BodyText"/>
      </w:pPr>
      <w:r>
        <w:t xml:space="preserve">th=""&gt;Patient Result</w:t>
      </w:r>
    </w:p>
    <w:p>
      <w:pPr>
        <w:pStyle w:val="BodyText"/>
      </w:pPr>
      <w:r>
        <w:t xml:space="preserve">th=""&gt;Reference Range (Cat)</w:t>
      </w:r>
    </w:p>
    <w:p>
      <w:pPr>
        <w:pStyle w:val="BodyText"/>
      </w:pPr>
      <w:r>
        <w:t xml:space="preserve">The Complete Blood Count revealed a mild neutrophilia (increased neutrophils) with a left shift, suggesting an inflammatory process within the body. There was also evidence of hemoconcentration, indicated by an elevated total protein and packed cell volume (PCV), which supports the clinical signs of dehydration observed during the physical exam. The white blood cell count was within normal limits but skewed towards inflammation rather than viral suppression.</w:t>
      </w:r>
    </w:p>
    <w:bookmarkStart w:id="24" w:name="serum-biochemistry-profile"/>
    <w:p>
      <w:pPr>
        <w:pStyle w:val="Heading3"/>
      </w:pPr>
      <w:r>
        <w:t xml:space="preserve">3.2 Serum Biochemistry Profile</w:t>
      </w:r>
    </w:p>
    <w:p>
      <w:pPr>
        <w:pStyle w:val="FirstParagraph"/>
      </w:pPr>
      <w:r>
        <w:t xml:space="preserve">The biochemical panel assessed organ function and metabolic status. Results indicated elevated Blood Urea Nitrogen (BUN) and Creatinine levels, consistent with pre-renal azotemia secondary to dehydration. Liver enzymes (ALT and ALP) were within normal ranges, ruling out primary hepatic disease such as feline hepatic lipidosis at this stage. Electrolyte analysis showed mild hypokalemia, which may contribute to the observed lethargy and muscle weakness.</w:t>
      </w:r>
    </w:p>
    <w:bookmarkEnd w:id="24"/>
    <w:bookmarkStart w:id="25" w:name="infectious-disease-testing"/>
    <w:p>
      <w:pPr>
        <w:pStyle w:val="Heading3"/>
      </w:pPr>
      <w:r>
        <w:t xml:space="preserve">3.3 Infectious Disease Testing</w:t>
      </w:r>
    </w:p>
    <w:p>
      <w:pPr>
        <w:pStyle w:val="FirstParagraph"/>
      </w:pPr>
      <w:r>
        <w:t xml:space="preserve">In Naples, Italy, specific vector-borne diseases are of higher concern due to the warmer climate and presence of sandflies and mosquitoes. Therefore, rapid testing for Feline Leukemia Virus (FeLV) and Feline Immunodeficiency Virus (FIV) was performed. Both tests returned negative results. Additionally, a SNAP test for Feline Panleukopenia was conducted, which also came back negative.</w:t>
      </w:r>
    </w:p>
    <w:bookmarkEnd w:id="25"/>
    <w:bookmarkEnd w:id="26"/>
    <w:bookmarkStart w:id="27" w:name="diagnostic-imaging"/>
    <w:p>
      <w:pPr>
        <w:pStyle w:val="Heading2"/>
      </w:pPr>
      <w:r>
        <w:t xml:space="preserve">4. Diagnostic Imaging</w:t>
      </w:r>
    </w:p>
    <w:p>
      <w:pPr>
        <w:pStyle w:val="FirstParagraph"/>
      </w:pPr>
      <w:r>
        <w:t xml:space="preserve">Radiographic imaging of the abdomen was performed to rule out foreign body obstruction or signs of pancreatitis. The lateral and ventrodorsal views showed no evidence of linear foreign bodies, gas patterns suggestive of ileus, or significant organomegaly. However, there was mild duodenal dilation noted on the radiographs.</w:t>
      </w:r>
    </w:p>
    <w:bookmarkEnd w:id="27"/>
    <w:bookmarkStart w:id="28" w:name="interpretation-and-diagnosis"/>
    <w:p>
      <w:pPr>
        <w:pStyle w:val="Heading2"/>
      </w:pPr>
      <w:r>
        <w:t xml:space="preserve">5. Interpretation and Diagnosis</w:t>
      </w:r>
    </w:p>
    <w:p>
      <w:pPr>
        <w:pStyle w:val="FirstParagraph"/>
      </w:pPr>
      <w:r>
        <w:t xml:space="preserve">Basing the diagnosis on the combination of clinical history, physical examination findings, laboratory results (neutrophilia, dehydration markers), and imaging (mild duodenal dilation without obstruction), a preliminary diagnosis of Acute Gastroenteritis was made.</w:t>
      </w:r>
    </w:p>
    <w:p>
      <w:pPr>
        <w:pStyle w:val="BodyText"/>
      </w:pPr>
      <w:r>
        <w:t xml:space="preserve">It is important to note regional considerations for veterinary cases in Naples. While dietary indiscretion remains the most common cause, local epidemiology requires vigilance against parasitic infections such as</w:t>
      </w:r>
      <w:r>
        <w:t xml:space="preserve"> </w:t>
      </w:r>
      <w:r>
        <w:rPr>
          <w:iCs/>
          <w:i/>
        </w:rPr>
        <w:t xml:space="preserve">Toxocara cati</w:t>
      </w:r>
      <w:r>
        <w:t xml:space="preserve"> </w:t>
      </w:r>
      <w:r>
        <w:t xml:space="preserve">or intestinal protozoa like</w:t>
      </w:r>
      <w:r>
        <w:t xml:space="preserve"> </w:t>
      </w:r>
      <w:r>
        <w:rPr>
          <w:iCs/>
          <w:i/>
        </w:rPr>
        <w:t xml:space="preserve">Cryptosporidium</w:t>
      </w:r>
      <w:r>
        <w:t xml:space="preserve">, which can be more prevalent in areas with less rigorous urban sanitation controls compared to Northern Italy. Furthermore, while Feline Panleukopenia is rare due to high vaccination rates, it cannot be entirely excluded without PCR testing if symptoms persist.</w:t>
      </w:r>
    </w:p>
    <w:bookmarkEnd w:id="28"/>
    <w:bookmarkStart w:id="29" w:name="treatment-plan-and-recommendations"/>
    <w:p>
      <w:pPr>
        <w:pStyle w:val="Heading2"/>
      </w:pPr>
      <w:r>
        <w:t xml:space="preserve">6. Treatment Plan and Recommendations</w:t>
      </w:r>
    </w:p>
    <w:p>
      <w:pPr>
        <w:pStyle w:val="FirstParagraph"/>
      </w:pPr>
      <w:r>
        <w:t xml:space="preserve">The following therapeutic protocol was prescribed for Brio:</w:t>
      </w:r>
    </w:p>
    <w:p>
      <w:pPr>
        <w:numPr>
          <w:ilvl w:val="0"/>
          <w:numId w:val="1002"/>
        </w:numPr>
        <w:pStyle w:val="Compact"/>
      </w:pPr>
      <w:r>
        <w:t xml:space="preserve">Hdration Therapy: Subcutaneous fluids were administered at the clinic to correct dehydration immediately. Owners were instructed to encourage water intake at home and provide wet food.</w:t>
      </w:r>
    </w:p>
    <w:p>
      <w:pPr>
        <w:numPr>
          <w:ilvl w:val="0"/>
          <w:numId w:val="1002"/>
        </w:numPr>
        <w:pStyle w:val="Compact"/>
      </w:pPr>
      <w:r>
        <w:t xml:space="preserve">Anti-emetics: Maropitant citrate (Cerenia) was prescribed for 5 days to control vomiting and provide anti-inflammatory effects in the gut.</w:t>
      </w:r>
    </w:p>
    <w:p>
      <w:pPr>
        <w:numPr>
          <w:ilvl w:val="0"/>
          <w:numId w:val="1002"/>
        </w:numPr>
        <w:pStyle w:val="Compact"/>
      </w:pPr>
      <w:r>
        <w:t xml:space="preserve">Gastroprotectants: Omeprazole was added to reduce gastric acid secretion and promote healing of the gastric mucosa.</w:t>
      </w:r>
    </w:p>
    <w:p>
      <w:pPr>
        <w:numPr>
          <w:ilvl w:val="0"/>
          <w:numId w:val="1002"/>
        </w:numPr>
        <w:pStyle w:val="Compact"/>
      </w:pPr>
      <w:r>
        <w:t xml:space="preserve">Dietary Management: A bland, easily digestible veterinary diet (gastrointestinal prescription food) is recommended for 7 days before slowly transitioning back to the regular diet.</w:t>
      </w:r>
    </w:p>
    <w:p>
      <w:pPr>
        <w:numPr>
          <w:ilvl w:val="0"/>
          <w:numId w:val="1002"/>
        </w:numPr>
        <w:pStyle w:val="Compact"/>
      </w:pPr>
      <w:r>
        <w:t xml:space="preserve">Fecal Examination: Due to the possibility of parasitic involvement common in urban cat populations in Southern Italy, a fresh fecal sample was submitted for flotation and direct smear analysis.</w:t>
      </w:r>
    </w:p>
    <w:bookmarkEnd w:id="29"/>
    <w:bookmarkStart w:id="30" w:name="conclusion"/>
    <w:p>
      <w:pPr>
        <w:pStyle w:val="Heading2"/>
      </w:pPr>
      <w:r>
        <w:t xml:space="preserve">7. Conclusion</w:t>
      </w:r>
    </w:p>
    <w:p>
      <w:pPr>
        <w:pStyle w:val="FirstParagraph"/>
      </w:pPr>
      <w:r>
        <w:t xml:space="preserve">This Veterinary Laboratory Report illustrates the systematic approach required to diagnose gastrointestinal issues in domestic cats within the specific environmental context of Naples, Italy. The integration of standard laboratory diagnostics with regional epidemiological awareness ensures a comprehensive care plan. While the current prognosis for Brio is excellent with supportive care, follow-up is essential to rule out parasitic causes or chronic inflammatory bowel disease (IBD), which requires long-term management.</w:t>
      </w:r>
    </w:p>
    <w:p>
      <w:pPr>
        <w:pStyle w:val="BodyText"/>
      </w:pPr>
      <w:r>
        <w:t xml:space="preserve">The findings underscore the importance of regular veterinary check-ups and vaccination protocols in urban Italian environments. By addressing dehydration promptly and managing gastrointestinal inflammation, the veterinarian aims to restore Brio’s health fully. This case serves as a reminder that even common symptoms require thorough laboratory investigation to exclude serious infectious or systemic diseases.</w:t>
      </w:r>
    </w:p>
    <w:p>
      <w:pPr>
        <w:pStyle w:val="BodyText"/>
      </w:pPr>
      <w:r>
        <w:br/>
      </w:r>
      <w:r>
        <w:br/>
      </w:r>
    </w:p>
    <w:p>
      <w:pPr>
        <w:pStyle w:val="BodyText"/>
      </w:pPr>
      <w:r>
        <w:rPr>
          <w:bCs/>
          <w:b/>
        </w:rPr>
        <w:t xml:space="preserve">Signed:</w:t>
      </w:r>
    </w:p>
    <w:p>
      <w:pPr>
        <w:pStyle w:val="BodyText"/>
      </w:pPr>
      <w:r>
        <w:t xml:space="preserve">Dr. Elena Rossi, DVM</w:t>
      </w:r>
    </w:p>
    <w:p>
      <w:pPr>
        <w:pStyle w:val="BodyText"/>
      </w:pPr>
      <w:r>
        <w:t xml:space="preserve">Veterinary Specialist, Internal Medicine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Laboratory Report: Clinical Analysis in Italy, Naples</dc:title>
  <dc:creator/>
  <dc:language>en</dc:language>
  <cp:keywords/>
  <dcterms:created xsi:type="dcterms:W3CDTF">2026-07-29T14:03:48Z</dcterms:created>
  <dcterms:modified xsi:type="dcterms:W3CDTF">2026-07-29T14:03:48Z</dcterms:modified>
</cp:coreProperties>
</file>

<file path=docProps/custom.xml><?xml version="1.0" encoding="utf-8"?>
<Properties xmlns="http://schemas.openxmlformats.org/officeDocument/2006/custom-properties" xmlns:vt="http://schemas.openxmlformats.org/officeDocument/2006/docPropsVTypes"/>
</file>