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Veterinary</w:t>
      </w:r>
      <w:r>
        <w:t xml:space="preserve"> </w:t>
      </w:r>
      <w:r>
        <w:t xml:space="preserve">Laboratory</w:t>
      </w:r>
      <w:r>
        <w:t xml:space="preserve"> </w:t>
      </w:r>
      <w:r>
        <w:t xml:space="preserve">Report:</w:t>
      </w:r>
      <w:r>
        <w:t xml:space="preserve"> </w:t>
      </w:r>
      <w:r>
        <w:t xml:space="preserve">Rome,</w:t>
      </w:r>
      <w:r>
        <w:t xml:space="preserve"> </w:t>
      </w:r>
      <w:r>
        <w:t xml:space="preserve">Italy</w:t>
      </w:r>
    </w:p>
    <w:bookmarkStart w:id="20" w:name="X6725abb534c1e120f7cb9c73f5b0841ab2c41ef"/>
    <w:p>
      <w:pPr>
        <w:pStyle w:val="Heading1"/>
      </w:pPr>
      <w:r>
        <w:t xml:space="preserve">Comprehensive Veterinary Laboratory Report and Diagnostic Assessment</w:t>
      </w:r>
    </w:p>
    <w:p>
      <w:pPr>
        <w:pStyle w:val="FirstParagraph"/>
      </w:pPr>
      <w:r>
        <w:t xml:space="preserve">Facility: Istituto Veterinario di Roma Specializzato</w:t>
      </w:r>
      <w:r>
        <w:br/>
      </w:r>
      <w:r>
        <w:t xml:space="preserve">Date of Analysis: October 26, 2023</w:t>
      </w:r>
      <w:r>
        <w:br/>
      </w:r>
      <w:r>
        <w:t xml:space="preserve">Patient ID: RM-8940-Alpha</w:t>
      </w:r>
      <w:r>
        <w:br/>
      </w:r>
      <w:r>
        <w:t xml:space="preserve">Location Context: Rome, Italy</w:t>
      </w:r>
    </w:p>
    <w:bookmarkEnd w:id="20"/>
    <w:p>
      <w:pPr>
        <w:pStyle w:val="BodyText"/>
      </w:pPr>
      <w:r>
        <w:rPr>
          <w:bCs/>
          <w:b/>
        </w:rPr>
        <w:t xml:space="preserve">Clinical Case Summary:</w:t>
      </w:r>
      <w:r>
        <w:t xml:space="preserve"> </w:t>
      </w:r>
      <w:r>
        <w:t xml:space="preserve">This document details the laboratory findings and diagnostic procedures for a four-year-old mixed-breed canine patient presenting with chronic lethargy and dermatological issues within the urban veterinary landscape of Rome, Italy. The report serves as a comprehensive record for local regulatory compliance in Italian medical facilities.</w:t>
      </w:r>
    </w:p>
    <w:bookmarkStart w:id="21" w:name="introduction"/>
    <w:p>
      <w:pPr>
        <w:pStyle w:val="Heading2"/>
      </w:pPr>
      <w:r>
        <w:t xml:space="preserve">1. Introduction</w:t>
      </w:r>
    </w:p>
    <w:p>
      <w:pPr>
        <w:pStyle w:val="FirstParagraph"/>
      </w:pPr>
      <w:r>
        <w:t xml:space="preserve">The integration of advanced laboratory diagnostics within veterinary medicine is essential for ensuring high standards of animal welfare and public health safety, particularly in densely populated urban environments such as Rome, Italy. This laboratory report outlines the diagnostic pathway undertaken at our specialized clinic located in the heart of Rome to evaluate a complex case involving potential zoonotic risks and endocrine disorders. The primary objective was to establish a definitive diagnosis through rigorous biochemical, hematological, and microbiological testing.</w:t>
      </w:r>
    </w:p>
    <w:p>
      <w:pPr>
        <w:pStyle w:val="BodyText"/>
      </w:pPr>
      <w:r>
        <w:t xml:space="preserve">In Italy, veterinary professionals are bound by strict European Union directives and national laws from the Ministry of Health regarding animal health surveillance. This report adheres to those standards while providing a detailed account of the clinical reasoning and laboratory outcomes. The significance of this case extends beyond individual patient care; it highlights the critical role that local veterinarians play in monitoring endemic diseases relevant to both pet owners and public health officials in Italy.</w:t>
      </w:r>
    </w:p>
    <w:bookmarkEnd w:id="21"/>
    <w:bookmarkStart w:id="22" w:name="patient-history-and-physical-examination"/>
    <w:p>
      <w:pPr>
        <w:pStyle w:val="Heading2"/>
      </w:pPr>
      <w:r>
        <w:t xml:space="preserve">2. Patient History and Physical Examination</w:t>
      </w:r>
    </w:p>
    <w:p>
      <w:pPr>
        <w:pStyle w:val="FirstParagraph"/>
      </w:pPr>
      <w:r>
        <w:t xml:space="preserve">The patient, a four-year-old mixed-breed dog named "Luigi," was brought to our veterinary facility by his owner, residing in the Trastevere neighborhood of Rome. The presenting complaints included a three-month history of progressive lethargy, intermittent diarrhea, and severe alopecia affecting the dorsal region and tail base.</w:t>
      </w:r>
    </w:p>
    <w:p>
      <w:pPr>
        <w:pStyle w:val="BodyText"/>
      </w:pPr>
      <w:r>
        <w:t xml:space="preserve">Upon physical examination at our clinic, Luigi presented with a body condition score of 4/9. His mucous membranes were pale with slight icterus. Abdominal palpation revealed mild discomfort in the cranial abdominal quadrant. Given the geographic location in Italy, specific attention was paid to potential exposure to ticks and fleas prevalent in the Mediterranean climate, as well as dietary indiscretion common among urban dogs.</w:t>
      </w:r>
    </w:p>
    <w:bookmarkEnd w:id="22"/>
    <w:bookmarkStart w:id="23" w:name="laboratory-methodology"/>
    <w:p>
      <w:pPr>
        <w:pStyle w:val="Heading2"/>
      </w:pPr>
      <w:r>
        <w:t xml:space="preserve">3. Laboratory Methodology</w:t>
      </w:r>
    </w:p>
    <w:p>
      <w:pPr>
        <w:pStyle w:val="FirstParagraph"/>
      </w:pPr>
      <w:r>
        <w:t xml:space="preserve">To ensure accuracy and compliance with international veterinary standards, multiple laboratory modalities were employed:</w:t>
      </w:r>
    </w:p>
    <w:p>
      <w:pPr>
        <w:numPr>
          <w:ilvl w:val="0"/>
          <w:numId w:val="1001"/>
        </w:numPr>
        <w:pStyle w:val="Compact"/>
      </w:pPr>
      <w:r>
        <w:rPr>
          <w:bCs/>
          <w:b/>
        </w:rPr>
        <w:t xml:space="preserve">Hematological Analysis:</w:t>
      </w:r>
      <w:r>
        <w:t xml:space="preserve"> </w:t>
      </w:r>
      <w:r>
        <w:t xml:space="preserve">A complete blood count (CBC) was performed using an automated analyzer to evaluate red blood cell indices, white blood cell differential, and platelet counts.</w:t>
      </w:r>
    </w:p>
    <w:p>
      <w:pPr>
        <w:numPr>
          <w:ilvl w:val="0"/>
          <w:numId w:val="1001"/>
        </w:numPr>
        <w:pStyle w:val="Compact"/>
      </w:pPr>
      <w:r>
        <w:rPr>
          <w:bCs/>
          <w:b/>
        </w:rPr>
        <w:t xml:space="preserve">Biochemical Profile:</w:t>
      </w:r>
      <w:r>
        <w:t xml:space="preserve"> </w:t>
      </w:r>
      <w:r>
        <w:t xml:space="preserve">Serum samples were analyzed for liver function enzymes (ALT, AST), pancreatic enzymes (amylase, lipase), kidney parameters (BUN, Creatinine), and glucose levels.</w:t>
      </w:r>
    </w:p>
    <w:p>
      <w:pPr>
        <w:numPr>
          <w:ilvl w:val="0"/>
          <w:numId w:val="1001"/>
        </w:numPr>
        <w:pStyle w:val="Compact"/>
      </w:pPr>
      <w:r>
        <w:rPr>
          <w:bCs/>
          <w:b/>
        </w:rPr>
        <w:t xml:space="preserve">Microbiological Culture:</w:t>
      </w:r>
      <w:r>
        <w:t xml:space="preserve"> </w:t>
      </w:r>
      <w:r>
        <w:t xml:space="preserve">Skin swabs were taken from the alopecic areas to identify bacterial or fungal overgrowth.</w:t>
      </w:r>
    </w:p>
    <w:p>
      <w:pPr>
        <w:numPr>
          <w:ilvl w:val="0"/>
          <w:numId w:val="1001"/>
        </w:numPr>
        <w:pStyle w:val="Compact"/>
      </w:pPr>
      <w:r>
        <w:rPr>
          <w:bCs/>
          <w:b/>
        </w:rPr>
        <w:t xml:space="preserve">Ectoparasite Screening:</w:t>
      </w:r>
      <w:r>
        <w:t xml:space="preserve"> </w:t>
      </w:r>
      <w:r>
        <w:t xml:space="preserve">A flea comb test was conducted alongside a rapid ELISA test for</w:t>
      </w:r>
      <w:r>
        <w:t xml:space="preserve"> </w:t>
      </w:r>
      <w:r>
        <w:rPr>
          <w:iCs/>
          <w:i/>
        </w:rPr>
        <w:t xml:space="preserve">Dirofilaria immitis</w:t>
      </w:r>
      <w:r>
        <w:t xml:space="preserve">, which remains a concern in certain regions of Italy.</w:t>
      </w:r>
    </w:p>
    <w:bookmarkEnd w:id="23"/>
    <w:bookmarkStart w:id="24" w:name="laboratory-results"/>
    <w:p>
      <w:pPr>
        <w:pStyle w:val="Heading2"/>
      </w:pPr>
      <w:r>
        <w:t xml:space="preserve">4. Laboratory Results</w:t>
      </w:r>
    </w:p>
    <w:p>
      <w:pPr>
        <w:pStyle w:val="FirstParagraph"/>
      </w:pPr>
      <w:r>
        <w:t xml:space="preserve">The results obtained from the laboratory analysis revealed several significant abnormalities that guided our diagnostic hypothesis:</w:t>
      </w:r>
    </w:p>
    <w:p>
      <w:pPr>
        <w:pStyle w:val="BodyText"/>
      </w:pPr>
      <w:r>
        <w:t xml:space="preserve">Test Parameter</w:t>
      </w:r>
    </w:p>
    <w:p>
      <w:pPr>
        <w:pStyle w:val="BodyText"/>
      </w:pPr>
      <w:r>
        <w:t xml:space="preserve">Result</w:t>
      </w:r>
    </w:p>
    <w:p>
      <w:pPr>
        <w:pStyle w:val="BodyText"/>
      </w:pPr>
      <w:r>
        <w:t xml:space="preserve">Reference Range (Canine)</w:t>
      </w:r>
    </w:p>
    <w:p>
      <w:pPr>
        <w:pStyle w:val="BodyText"/>
      </w:pPr>
      <w:r>
        <w:t xml:space="preserve">Hemoglobin (g/dL)</w:t>
      </w:r>
    </w:p>
    <w:p>
      <w:pPr>
        <w:pStyle w:val="BodyText"/>
      </w:pPr>
      <w:r>
        <w:t xml:space="preserve">8.5 ↓</w:t>
      </w:r>
    </w:p>
    <w:p>
      <w:pPr>
        <w:pStyle w:val="BodyText"/>
      </w:pPr>
      <w:r>
        <w:t xml:space="preserve">12.0 – 18.0</w:t>
      </w:r>
    </w:p>
    <w:p>
      <w:pPr>
        <w:pStyle w:val="BodyText"/>
      </w:pPr>
      <w:r>
        <w:t xml:space="preserve">&lt;</w:t>
      </w:r>
    </w:p>
    <w:p>
      <w:pPr>
        <w:pStyle w:val="BodyText"/>
      </w:pPr>
      <w:r>
        <w:t xml:space="preserve">Mean Corpuscular Volume (MCV)</w:t>
      </w:r>
    </w:p>
    <w:p>
      <w:pPr>
        <w:pStyle w:val="BodyText"/>
      </w:pPr>
      <w:r>
        <w:t xml:space="preserve">65 fL ↓</w:t>
      </w:r>
    </w:p>
    <w:p>
      <w:pPr>
        <w:pStyle w:val="BodyText"/>
      </w:pPr>
      <w:r>
        <w:t xml:space="preserve">F&lt;0 style=red"&gt;70 – 90"23 k/uL ↑</w:t>
      </w:r>
    </w:p>
    <w:p>
      <w:pPr>
        <w:pStyle w:val="BodyText"/>
      </w:pPr>
      <w:r>
        <w:t xml:space="preserve">5.0 – 12.3"4,876 u/L ↑</w:t>
      </w:r>
    </w:p>
    <w:p>
      <w:pPr>
        <w:pStyle w:val="BodyText"/>
      </w:pPr>
      <w:r>
        <w:t xml:space="preserve">Up to 1,600 u/L</w:t>
      </w:r>
    </w:p>
    <w:p>
      <w:pPr>
        <w:pStyle w:val="BodyText"/>
      </w:pPr>
      <w:r>
        <w:t xml:space="preserve">Serum Biochemistry Highlights:</w:t>
      </w:r>
    </w:p>
    <w:p>
      <w:pPr>
        <w:pStyle w:val="BodyText"/>
      </w:pPr>
      <w:r>
        <w:t xml:space="preserve">ALT (IU/L)</w:t>
      </w:r>
    </w:p>
    <w:p>
      <w:pPr>
        <w:pStyle w:val="BodyText"/>
      </w:pPr>
      <w:r>
        <w:t xml:space="preserve">185 IU/L ↑</w:t>
      </w:r>
    </w:p>
    <w:p>
      <w:pPr>
        <w:pStyle w:val="BodyText"/>
      </w:pPr>
      <w:r>
        <w:t xml:space="preserve">Up to 120 IU/LBUN (mg/dL)25 mg/dL ↑</w:t>
      </w:r>
    </w:p>
    <w:p>
      <w:pPr>
        <w:pStyle w:val="BodyText"/>
      </w:pPr>
      <w:r>
        <w:t xml:space="preserve">F&lt;0 style=red"&gt;14 – 30"Creatinine (mg/dL)</w:t>
      </w:r>
      <w:r>
        <w:br/>
      </w:r>
      <w:r>
        <w:t xml:space="preserve">85 mg/dl</w:t>
      </w:r>
      <w:r>
        <w:br/>
      </w:r>
      <w:r>
        <w:br/>
      </w:r>
      <w:r>
        <w:br/>
      </w:r>
      <w:r>
        <w:t xml:space="preserve">Glucose (mg/</w:t>
      </w:r>
    </w:p>
    <w:p>
      <w:pPr>
        <w:pStyle w:val="BodyText"/>
      </w:pPr>
      <w:r>
        <w:t xml:space="preserve">70 – 120 mg/dl</w:t>
      </w:r>
    </w:p>
    <w:bookmarkEnd w:id="24"/>
    <w:bookmarkStart w:id="25" w:name="interpretation-and-discussion"/>
    <w:p>
      <w:pPr>
        <w:pStyle w:val="Heading2"/>
      </w:pPr>
      <w:r>
        <w:t xml:space="preserve">5. Interpretation and Discussion</w:t>
      </w:r>
    </w:p>
    <w:p>
      <w:pPr>
        <w:pStyle w:val="FirstParagraph"/>
      </w:pPr>
      <w:r>
        <w:t xml:space="preserve">The laboratory data indicates a multifactorial pathological process. The anemia combined with elevated inflammatory markers suggests an underlying systemic inflammatory disease or chronic blood loss, potentially linked to gastrointestinal issues indicated by the diarrhea history.</w:t>
      </w:r>
    </w:p>
    <w:p>
      <w:pPr>
        <w:pStyle w:val="BodyText"/>
      </w:pPr>
      <w:r>
        <w:t xml:space="preserve">While mild elevations in liver enzymes were noted, they are non-specific and could be secondary to systemic illness rather than primary hepatopathy. The most critical finding is the negative result for heartworm (</w:t>
      </w:r>
      <w:r>
        <w:rPr>
          <w:iCs/>
          <w:i/>
        </w:rPr>
        <w:t xml:space="preserve">Dirofilaria immitis</w:t>
      </w:r>
      <w:r>
        <w:t xml:space="preserve">), which is reassuring given that Italy has historically been a region of low endemicity but has seen increasing reports in recent years due to climate changes affecting vector distribution.</w:t>
      </w:r>
    </w:p>
    <w:p>
      <w:pPr>
        <w:pStyle w:val="BodyText"/>
      </w:pPr>
      <w:r>
        <w:t xml:space="preserve">The skin culture identified</w:t>
      </w:r>
      <w:r>
        <w:t xml:space="preserve"> </w:t>
      </w:r>
      <w:r>
        <w:rPr>
          <w:iCs/>
          <w:i/>
        </w:rPr>
        <w:t xml:space="preserve">Staphylococcus pseudintermedius</w:t>
      </w:r>
      <w:r>
        <w:t xml:space="preserve">, confirming a secondary bacterial pyoderma. This infection is likely exacerbated by the compromised skin barrier resulting from the primary endocrine issue suspected to be hypothyroidism or Cushing's disease, which are common in middle-aged dogs.</w:t>
      </w:r>
    </w:p>
    <w:bookmarkEnd w:id="25"/>
    <w:bookmarkStart w:id="26" w:name="X978ee526a71e469bc03574160f238f934f8386c"/>
    <w:p>
      <w:pPr>
        <w:pStyle w:val="Heading2"/>
      </w:pPr>
      <w:r>
        <w:t xml:space="preserve">6. Recommendations for Veterinary Professionals in Italy</w:t>
      </w:r>
    </w:p>
    <w:p>
      <w:pPr>
        <w:pStyle w:val="FirstParagraph"/>
      </w:pPr>
      <w:r>
        <w:t xml:space="preserve">For veterinarians practicing in Rome and throughout Italy, this case underscores several key points:</w:t>
      </w:r>
    </w:p>
    <w:p>
      <w:pPr>
        <w:numPr>
          <w:ilvl w:val="0"/>
          <w:numId w:val="1002"/>
        </w:numPr>
        <w:pStyle w:val="Compact"/>
      </w:pPr>
      <w:r>
        <w:t xml:space="preserve">Routine Screening: Regular screening for vector-borne diseases is advisable even in traditionally low-risk areas due to changing ecological patterns.</w:t>
      </w:r>
    </w:p>
    <w:p>
      <w:pPr>
        <w:numPr>
          <w:ilvl w:val="0"/>
          <w:numId w:val="1002"/>
        </w:numPr>
        <w:pStyle w:val="Compact"/>
      </w:pPr>
      <w:r>
        <w:t xml:space="preserve">Multifactorial Diagnosis: Chronic dermatological cases should always prompt a thorough internal medicine workup to rule out systemic causes before focusing solely on topical therapies.</w:t>
      </w:r>
    </w:p>
    <w:p>
      <w:pPr>
        <w:numPr>
          <w:ilvl w:val="0"/>
          <w:numId w:val="1002"/>
        </w:numPr>
        <w:pStyle w:val="Compact"/>
      </w:pPr>
      <w:r>
        <w:t xml:space="preserve">Client Education: Italian pet owners are increasingly health-conscious. Educating them on the link between environmental hygiene and animal health is crucial for preventive care.</w:t>
      </w:r>
    </w:p>
    <w:bookmarkEnd w:id="26"/>
    <w:bookmarkStart w:id="27" w:name="conclusion"/>
    <w:p>
      <w:pPr>
        <w:pStyle w:val="Heading2"/>
      </w:pPr>
      <w:r>
        <w:t xml:space="preserve">7. Conclusion</w:t>
      </w:r>
    </w:p>
    <w:p>
      <w:pPr>
        <w:pStyle w:val="FirstParagraph"/>
      </w:pPr>
      <w:r>
        <w:t xml:space="preserve">This laboratory report demonstrates the necessity of comprehensive diagnostic protocols in veterinary medicine. By utilizing advanced testing methods, we were able to identify secondary pyoderma while pointing towards a systemic underlying cause requiring further investigation via cortisol stimulation tests. The accurate documentation and analysis presented herein serve as a vital tool for the ongoing management of Luigi's health and reflect the high standard of care expected from veterinarians in Italy.</w:t>
      </w:r>
    </w:p>
    <w:p>
      <w:pPr>
        <w:pStyle w:val="BodyText"/>
      </w:pPr>
      <w:r>
        <w:rPr>
          <w:iCs/>
          <w:i/>
        </w:rPr>
        <w:t xml:space="preserve">Generated by Veterinary Information Systems (VIS) | Rome Branch | Compliant with EU Directive 2004/10/EC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Veterinary Laboratory Report: Rome, Italy</dc:title>
  <dc:creator/>
  <dc:language>en</dc:language>
  <cp:keywords/>
  <dcterms:created xsi:type="dcterms:W3CDTF">2026-07-29T18:19:19Z</dcterms:created>
  <dcterms:modified xsi:type="dcterms:W3CDTF">2026-07-29T18:19:19Z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