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Care</w:t>
      </w:r>
      <w:r>
        <w:t xml:space="preserve"> </w:t>
      </w:r>
      <w:r>
        <w:t xml:space="preserve">Standards</w:t>
      </w:r>
      <w:r>
        <w:t xml:space="preserve"> </w:t>
      </w:r>
      <w:r>
        <w:t xml:space="preserve">and</w:t>
      </w:r>
      <w:r>
        <w:t xml:space="preserve"> </w:t>
      </w:r>
      <w:r>
        <w:t xml:space="preserve">Protocols</w:t>
      </w:r>
      <w:r>
        <w:t xml:space="preserve"> </w:t>
      </w:r>
      <w:r>
        <w:t xml:space="preserve">in</w:t>
      </w:r>
      <w:r>
        <w:t xml:space="preserve"> </w:t>
      </w:r>
      <w:r>
        <w:t xml:space="preserve">Japan</w:t>
      </w:r>
      <w:r>
        <w:t xml:space="preserve"> </w:t>
      </w:r>
      <w:r>
        <w:t xml:space="preserve">Osaka</w:t>
      </w:r>
    </w:p>
    <w:bookmarkStart w:id="31" w:name="Xba486aed217c597a93445cb1eb265b4490b0772"/>
    <w:p>
      <w:pPr>
        <w:pStyle w:val="Heading1"/>
      </w:pPr>
      <w:r>
        <w:t xml:space="preserve">Laboratory and Clinical Analysis Report:</w:t>
      </w:r>
      <w:r>
        <w:br/>
      </w:r>
      <w:r>
        <w:t xml:space="preserve">Veterinary Service Integration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Oversight Committee</w:t>
      </w:r>
      <w:r>
        <w:br/>
      </w:r>
    </w:p>
    <w:p>
      <w:pPr>
        <w:pStyle w:val="BodyText"/>
      </w:pPr>
      <w:r>
        <w:t xml:space="preserve">From:** Senior Veterinary Analyst Unit</w:t>
      </w:r>
      <w:r>
        <w:br/>
      </w:r>
    </w:p>
    <w:p>
      <w:pPr>
        <w:pStyle w:val="BodyText"/>
      </w:pPr>
      <w:r>
        <w:t xml:space="preserve">Subject:** Comprehensive Evaluation of Veterinary Infrastructure and Public Health Impact in Japan Osaka</w:t>
      </w:r>
    </w:p>
    <w:bookmarkStart w:id="20" w:name="abstract"/>
    <w:p>
      <w:pPr>
        <w:pStyle w:val="Heading3"/>
      </w:pPr>
      <w:r>
        <w:t xml:space="preserve">Abstract</w:t>
      </w:r>
    </w:p>
    <w:p>
      <w:pPr>
        <w:pStyle w:val="FirstParagraph"/>
      </w:pPr>
      <w:r>
        <w:t xml:space="preserve">This Lab Report provides a critical examination of the veterinary ecosystem within the urban context of Japan Osaka. As a major metropolitan hub, Japan Osaka presents unique challenges regarding animal population density, zoonotic disease prevention, and the standardization of clinical practices. This document analyzes current methodologies employed by local Veterinarian practitioners, assesses compliance with national bio-safety regulations in Japan Osaka, and evaluates the integration of modern laboratory diagnostics within private and public health frameworks. The findings suggest that while Japan Osaka maintains high standards for animal welfare, there is a pressing need for enhanced interdisciplinary collaboration between human medical labs and veterinary facilities to mitigate emerging infectious risks.</w:t>
      </w:r>
    </w:p>
    <w:bookmarkEnd w:id="20"/>
    <w:bookmarkStart w:id="21" w:name="introduction"/>
    <w:p>
      <w:pPr>
        <w:pStyle w:val="Heading2"/>
      </w:pPr>
      <w:r>
        <w:t xml:space="preserve">1. Introduction</w:t>
      </w:r>
    </w:p>
    <w:p>
      <w:pPr>
        <w:pStyle w:val="FirstParagraph"/>
      </w:pPr>
      <w:r>
        <w:t xml:space="preserve">The role of the Veterinarian extends far beyond the treatment of individual animals; it serves as a cornerstone of public health infrastructure, particularly in densely populated urban environments. In Japan Osaka, where pet ownership rates are exceptionally high and animal-human interaction is frequent, the efficacy of veterinary services directly correlates with community health outcomes. This Lab Report aims to dissect the operational workflows of veterinary clinics across Japan Osaka, focusing on diagnostic accuracy, regulatory adherence to Japanese national standards, and the specific socio-economic factors influencing care accessibility.</w:t>
      </w:r>
    </w:p>
    <w:p>
      <w:pPr>
        <w:pStyle w:val="BodyText"/>
      </w:pPr>
      <w:r>
        <w:t xml:space="preserve">The objective is not merely to observe but to analyze data regarding specimen handling, pathogen detection rates in companion animals within Japan Osaka, and the logistical capabilities of local Veterinarian facilities. By treating veterinary care as a scientific discipline requiring rigorous laboratory oversight, we can better understand how Japan Osaka’s veterinary sector contributes to the broader health security of the region.</w:t>
      </w:r>
    </w:p>
    <w:bookmarkEnd w:id="21"/>
    <w:bookmarkStart w:id="22" w:name="methodology"/>
    <w:p>
      <w:pPr>
        <w:pStyle w:val="Heading2"/>
      </w:pPr>
      <w:r>
        <w:t xml:space="preserve">2. Methodology</w:t>
      </w:r>
    </w:p>
    <w:p>
      <w:pPr>
        <w:pStyle w:val="FirstParagraph"/>
      </w:pPr>
      <w:r>
        <w:t xml:space="preserve">Data for this Lab Report was collected through a multi-phase observational study conducted over six months in select districts of Japan Osaka. The methodology included:</w:t>
      </w:r>
    </w:p>
    <w:p>
      <w:pPr>
        <w:numPr>
          <w:ilvl w:val="0"/>
          <w:numId w:val="1001"/>
        </w:numPr>
        <w:pStyle w:val="Compact"/>
      </w:pPr>
      <w:r>
        <w:rPr>
          <w:bCs/>
          <w:b/>
        </w:rPr>
        <w:t xml:space="preserve">Clinical Audits:</w:t>
      </w:r>
    </w:p>
    <w:p>
      <w:pPr>
        <w:numPr>
          <w:ilvl w:val="0"/>
          <w:numId w:val="1001"/>
        </w:numPr>
        <w:pStyle w:val="Compact"/>
      </w:pPr>
      <w:r>
        <w:rPr>
          <w:bCs/>
          <w:b/>
        </w:rPr>
        <w:t xml:space="preserve">Laboratory Analysis:</w:t>
      </w:r>
    </w:p>
    <w:p>
      <w:pPr>
        <w:numPr>
          <w:ilvl w:val="0"/>
          <w:numId w:val="1001"/>
        </w:numPr>
        <w:pStyle w:val="Compact"/>
      </w:pPr>
      <w:r>
        <w:t xml:space="preserve">Surveys:</w:t>
      </w:r>
    </w:p>
    <w:p>
      <w:pPr>
        <w:pStyle w:val="FirstParagraph"/>
      </w:pPr>
      <w:r>
        <w:t xml:space="preserve">All procedures adhered strictly to the ethical guidelines established by the Japanese Ministry of Agriculture, Forestry and Fisheries (MAFF), ensuring that the evaluation of Veterinarian performance in Japan Osaka was conducted with integrity and precision.</w:t>
      </w:r>
    </w:p>
    <w:bookmarkEnd w:id="22"/>
    <w:bookmarkStart w:id="24" w:name="results"/>
    <w:p>
      <w:pPr>
        <w:pStyle w:val="Heading2"/>
      </w:pPr>
      <w:r>
        <w:t xml:space="preserve">3. Results</w:t>
      </w:r>
    </w:p>
    <w:bookmarkStart w:id="23" w:name="diagnostic-capabilities"/>
    <w:p>
      <w:pPr>
        <w:pStyle w:val="Heading3"/>
      </w:pPr>
      <w:r>
        <w:t xml:space="preserve">3.1 Diagnostic Capabilities</w:t>
      </w:r>
    </w:p>
    <w:p>
      <w:pPr>
        <w:pStyle w:val="FirstParagraph"/>
      </w:pPr>
      <w:r>
        <w:t xml:space="preserve">The analysis reveals a significant disparity in diagnostic capabilities among Veterinarian practitioners in Japan Osaka. While specialized centers possess advanced PCR testing equipment capable of detecting novel zoonotic pathogens, general practice clinics often rely on referral laboratories located outside the immediate vicinity of Japan Osaka for complex analyses.</w:t>
      </w:r>
    </w:p>
    <w:p>
      <w:pPr>
        <w:pStyle w:val="BodyText"/>
      </w:pPr>
      <w:r>
        <w:t xml:space="preserve">Clinic Type</w:t>
      </w:r>
    </w:p>
    <w:p>
      <w:pPr>
        <w:pStyle w:val="BodyText"/>
      </w:pPr>
      <w:r>
        <w:t xml:space="preserve">In-House Lab Capacity</w:t>
      </w:r>
    </w:p>
    <w:p>
      <w:pPr>
        <w:pStyle w:val="BodyText"/>
      </w:pPr>
      <w:r>
        <w:t xml:space="preserve">Average Turnaround Time (Hours)</w:t>
      </w:r>
    </w:p>
    <w:p>
      <w:pPr>
        <w:pStyle w:val="BodyText"/>
      </w:pPr>
      <w:r>
        <w:rPr>
          <w:bCs/>
          <w:b/>
        </w:rPr>
        <w:t xml:space="preserve">Detection Rate in Japan Osaka Context</w:t>
      </w:r>
    </w:p>
    <w:p>
      <w:pPr>
        <w:pStyle w:val="BodyText"/>
      </w:pPr>
      <w:r>
        <w:br/>
      </w:r>
    </w:p>
    <w:p>
      <w:pPr>
        <w:pStyle w:val="BodyText"/>
      </w:pPr>
      <w:r>
        <w:t xml:space="preserve">General Practice</w:t>
      </w:r>
    </w:p>
    <w:p>
      <w:pPr>
        <w:pStyle w:val="BodyText"/>
      </w:pPr>
      <w:r>
        <w:br/>
      </w:r>
      <w:r>
        <w:t xml:space="preserve">Basic Microscopy/Cytology</w:t>
      </w:r>
      <w:r>
        <w:t xml:space="preserve">  </w:t>
      </w:r>
      <w:r>
        <w:rPr>
          <w:bCs/>
          <w:b/>
        </w:rPr>
        <w:t xml:space="preserve">48-72</w:t>
      </w:r>
      <w:r>
        <w:br/>
      </w:r>
      <w:r>
        <w:t xml:space="preserve">  </w:t>
      </w:r>
      <w:r>
        <w:br/>
      </w:r>
      <w:r>
        <w:br/>
      </w:r>
      <w:r>
        <w:t xml:space="preserve">3.2 Zoonotic Risk Assessment</w:t>
      </w:r>
      <w:r>
        <w:br/>
      </w:r>
    </w:p>
    <w:p>
      <w:pPr>
        <w:pStyle w:val="BodyText"/>
      </w:pPr>
      <w:r>
        <w:t xml:space="preserve">Specimen collection protocols in Japan Osaka show a 94% compliance rate with safety standards. However, the Lab Report notes that cross-contamination risks remain during transport between home and clinic. Veterinarian staff in Japan Osaka demonstrated high proficiency in handling biohazardous materials, though communication gaps were observed during triage for suspected rabies-vector species, despite the low prevalence of rabies in modern Japan Osaka.</w:t>
      </w:r>
    </w:p>
    <w:bookmarkEnd w:id="23"/>
    <w:bookmarkEnd w:id="24"/>
    <w:bookmarkStart w:id="28" w:name="discussion"/>
    <w:p>
      <w:pPr>
        <w:pStyle w:val="Heading2"/>
      </w:pPr>
      <w:r>
        <w:t xml:space="preserve">4. Discussion</w:t>
      </w:r>
    </w:p>
    <w:bookmarkStart w:id="25" w:name="X97671e844e4734bf42cb176cdfd9698cb90ef57"/>
    <w:p>
      <w:pPr>
        <w:pStyle w:val="Heading3"/>
      </w:pPr>
      <w:r>
        <w:t xml:space="preserve">4.1 The Intersection of Public Health and Veterinary Care</w:t>
      </w:r>
      <w:r>
        <w:br/>
      </w:r>
    </w:p>
    <w:p>
      <w:pPr>
        <w:pStyle w:val="FirstParagraph"/>
      </w:pPr>
      <w:r>
        <w:t xml:space="preserve">The integration of veterinary medicine into public health frameworks is critical in Japan Osaka. As this Lab Report highlights, the Veterinarian serves as an early warning system for environmental toxins and infectious diseases that could spill over to human populations. The dense urban landscape of Japan Osaka requires a proactive approach where data from animal labs informs municipal health policies.</w:t>
      </w:r>
    </w:p>
    <w:bookmarkEnd w:id="25"/>
    <w:bookmarkStart w:id="26" w:name="challenges-in-resource-allocation"/>
    <w:p>
      <w:pPr>
        <w:pStyle w:val="Heading3"/>
      </w:pPr>
      <w:r>
        <w:t xml:space="preserve">4.2 Challenges in Resource Allocation</w:t>
      </w:r>
      <w:r>
        <w:br/>
      </w:r>
    </w:p>
    <w:p>
      <w:pPr>
        <w:pStyle w:val="FirstParagraph"/>
      </w:pPr>
      <w:r>
        <w:t xml:space="preserve">Despite high demand, resource distribution among Veterinarian facilities in Japan Osaka is uneven. Rural-urban migration towards the core of Japan Osaka has increased pressure on existing clinics, leading to burnout and reduced capacity for detailed laboratory analysis. This Lab Report recommends increased funding for mobile veterinary labs that can serve underserved areas within the Japan Osaka prefecture.</w:t>
      </w:r>
    </w:p>
    <w:bookmarkEnd w:id="26"/>
    <w:bookmarkStart w:id="27" w:name="cultural-and-linguistic-barriers"/>
    <w:p>
      <w:pPr>
        <w:pStyle w:val="Heading3"/>
      </w:pPr>
      <w:r>
        <w:t xml:space="preserve">4.3 Cultural and Linguistic Barriers</w:t>
      </w:r>
      <w:r>
        <w:br/>
      </w:r>
    </w:p>
    <w:p>
      <w:pPr>
        <w:pStyle w:val="FirstParagraph"/>
      </w:pPr>
      <w:r>
        <w:t xml:space="preserve">Japan Osaka hosts a significant international population. The Lab Report identified that language barriers often impede effective communication between non-Japanese speaking pet owners and Veterinarian staff. This can lead to incomplete medical histories, affecting diagnostic accuracy. Enhanced multilingual resources in Japan Osaka veterinary facilities are essential for equitable care.</w:t>
      </w:r>
    </w:p>
    <w:bookmarkEnd w:id="27"/>
    <w:bookmarkEnd w:id="28"/>
    <w:bookmarkStart w:id="29" w:name="conclusion"/>
    <w:p>
      <w:pPr>
        <w:pStyle w:val="Heading2"/>
      </w:pPr>
      <w:r>
        <w:t xml:space="preserve">5. Conclusion</w:t>
      </w:r>
    </w:p>
    <w:p>
      <w:pPr>
        <w:pStyle w:val="FirstParagraph"/>
      </w:pPr>
      <w:r>
        <w:t xml:space="preserve">In conclusion, this Lab Report underscores the vital role of the Veterinarian in maintaining ecological and public health stability in Japan Osaka. The data indicates that while technical competence among Veterinarian professionals is high, systemic improvements are needed regarding laboratory accessibility and inter-agency communication. Japan Osaka stands at a pivotal moment where leveraging advanced veterinary diagnostics can significantly enhance community resilience against emerging health threats.</w:t>
      </w:r>
    </w:p>
    <w:p>
      <w:pPr>
        <w:pStyle w:val="BodyText"/>
      </w:pPr>
      <w:r>
        <w:t xml:space="preserve">It is imperative that stakeholders recognize the Veterinarian not just as a caregiver for animals, but as a key scientific partner in the public health ecosystem of Japan Osaka. Future initiatives should focus on standardizing laboratory protocols across all jurisdictions in Japan Osaka and fostering greater collaboration between human and veterinary medical labs.</w:t>
      </w:r>
    </w:p>
    <w:bookmarkEnd w:id="29"/>
    <w:bookmarkStart w:id="30" w:name="recommendations"/>
    <w:p>
      <w:pPr>
        <w:pStyle w:val="Heading2"/>
      </w:pPr>
      <w:r>
        <w:t xml:space="preserve">6. Recommendations</w:t>
      </w:r>
    </w:p>
    <w:p>
      <w:pPr>
        <w:numPr>
          <w:ilvl w:val="0"/>
          <w:numId w:val="1002"/>
        </w:numPr>
        <w:pStyle w:val="Compact"/>
      </w:pPr>
      <w:r>
        <w:br/>
      </w:r>
      <w:r>
        <w:t xml:space="preserve">  </w:t>
      </w:r>
    </w:p>
    <w:p>
      <w:pPr>
        <w:numPr>
          <w:ilvl w:val="0"/>
          <w:numId w:val="1000"/>
        </w:numPr>
        <w:pStyle w:val="Compact"/>
      </w:pPr>
      <w:r>
        <w:t xml:space="preserve">Standardization: </w:t>
      </w:r>
      <w:r>
        <w:br/>
      </w:r>
      <w:r>
        <w:t xml:space="preserve">Implement unified laboratory testing standards for all Veterinarian clinics in Japan Osaka to ensure consistency in diagnostic data.</w:t>
      </w:r>
    </w:p>
    <w:p>
      <w:pPr>
        <w:numPr>
          <w:ilvl w:val="0"/>
          <w:numId w:val="1002"/>
        </w:numPr>
        <w:pStyle w:val="Compact"/>
      </w:pPr>
      <w:r>
        <w:br/>
      </w:r>
      <w:r>
        <w:t xml:space="preserve">  </w:t>
      </w:r>
    </w:p>
    <w:p>
      <w:pPr>
        <w:numPr>
          <w:ilvl w:val="0"/>
          <w:numId w:val="1000"/>
        </w:numPr>
        <w:pStyle w:val="Compact"/>
      </w:pPr>
      <w:r>
        <w:t xml:space="preserve">Technology Integration: </w:t>
      </w:r>
      <w:r>
        <w:br/>
      </w:r>
      <w:r>
        <w:t xml:space="preserve">Invest in portable diagnostic labs for remote areas within Japan Osaka to reduce turnaround times.</w:t>
      </w:r>
    </w:p>
    <w:p>
      <w:pPr>
        <w:numPr>
          <w:ilvl w:val="0"/>
          <w:numId w:val="1002"/>
        </w:numPr>
        <w:pStyle w:val="Compact"/>
      </w:pPr>
      <w:r>
        <w:br/>
      </w:r>
      <w:r>
        <w:t xml:space="preserve">  </w:t>
      </w:r>
    </w:p>
    <w:p>
      <w:pPr>
        <w:numPr>
          <w:ilvl w:val="0"/>
          <w:numId w:val="1000"/>
        </w:numPr>
        <w:pStyle w:val="Compact"/>
      </w:pPr>
      <w:r>
        <w:t xml:space="preserve">Training: </w:t>
      </w:r>
      <w:r>
        <w:br/>
      </w:r>
      <w:r>
        <w:t xml:space="preserve">Expand continuing education for Veterinarian staff in Japan Osaka on zoonotic disease management and international communication.</w:t>
      </w:r>
    </w:p>
    <w:p>
      <w:r>
        <w:pict>
          <v:rect style="width:0;height:1.5pt" o:hralign="center" o:hrstd="t" o:hr="t"/>
        </w:pict>
      </w:r>
    </w:p>
    <w:p>
      <w:pPr>
        <w:pStyle w:val="FirstParagraph"/>
      </w:pPr>
      <w:r>
        <w:rPr>
          <w:iCs/>
          <w:i/>
        </w:rPr>
        <w:t xml:space="preserve">This Lab Report is a simulated document for analytical purposes. All references to Japan Osaka, Veterinarian protocols, and laboratory standards reflect general industry practices and hypothetical data structures designed to meet the requested format.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Care Standards and Protocols in Japan Osaka</dc:title>
  <dc:creator/>
  <dc:language>en</dc:language>
  <cp:keywords/>
  <dcterms:created xsi:type="dcterms:W3CDTF">2026-07-29T07:01:39Z</dcterms:created>
  <dcterms:modified xsi:type="dcterms:W3CDTF">2026-07-29T07:01:39Z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