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Laboratory</w:t>
      </w:r>
      <w:r>
        <w:t xml:space="preserve"> </w:t>
      </w:r>
      <w:r>
        <w:t xml:space="preserve">Report:</w:t>
      </w:r>
      <w:r>
        <w:t xml:space="preserve"> </w:t>
      </w:r>
      <w:r>
        <w:t xml:space="preserve">Kuala</w:t>
      </w:r>
      <w:r>
        <w:t xml:space="preserve"> </w:t>
      </w:r>
      <w:r>
        <w:t xml:space="preserve">Lumpur</w:t>
      </w:r>
    </w:p>
    <w:bookmarkStart w:id="29" w:name="Xd9eec16bbef47f9b9a4ab53ad1cf7d2698b53b3"/>
    <w:p>
      <w:pPr>
        <w:pStyle w:val="Heading1"/>
      </w:pPr>
      <w:r>
        <w:t xml:space="preserve">Veterinary Diagnostic Laboratory Report &amp; Clinical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Central Veterinary Diagnostic Center</w:t>
      </w:r>
      <w:r>
        <w:br/>
      </w:r>
      <w:r>
        <w:rPr>
          <w:bCs/>
          <w:b/>
        </w:rPr>
        <w:t xml:space="preserve">Jurisdiction/Region:</w:t>
      </w:r>
      <w:r>
        <w:t xml:space="preserve"> Malaysia Kuala Lumpur</w:t>
      </w:r>
    </w:p>
    <w:bookmarkStart w:id="20" w:name="executive-summary-and-introduction"/>
    <w:p>
      <w:pPr>
        <w:pStyle w:val="Heading2"/>
      </w:pPr>
      <w:r>
        <w:t xml:space="preserve">1. Executive Summary and Introduction</w:t>
      </w:r>
    </w:p>
    <w:p>
      <w:pPr>
        <w:pStyle w:val="FirstParagraph"/>
      </w:pPr>
      <w:r>
        <w:t xml:space="preserve">This comprehensive laboratory report serves as a critical documentation tool within the veterinary healthcare framework of</w:t>
      </w:r>
      <w:r>
        <w:t xml:space="preserve"> </w:t>
      </w:r>
      <w:r>
        <w:t xml:space="preserve">Malaysia Kuala Lumpur</w:t>
      </w:r>
      <w:r>
        <w:t xml:space="preserve">. As the capital city and primary economic hub of Malaysia, Kuala Lumpur presents a unique epidemiological landscape for animal health. The dense urban population, combined with high pet ownership rates and significant cross-border trade, necessitates rigorous laboratory protocols. This report outlines the diagnostic procedures, clinical findings, and analytical results conducted by our</w:t>
      </w:r>
      <w:r>
        <w:t xml:space="preserve"> </w:t>
      </w:r>
      <w:r>
        <w:t xml:space="preserve">Veterinarian</w:t>
      </w:r>
      <w:r>
        <w:t xml:space="preserve"> </w:t>
      </w:r>
      <w:r>
        <w:t xml:space="preserve">staff to ensure accurate disease identification and effective treatment planning.</w:t>
      </w:r>
    </w:p>
    <w:p>
      <w:pPr>
        <w:pStyle w:val="BodyText"/>
      </w:pPr>
      <w:r>
        <w:t xml:space="preserve">The primary objective of this document is to provide a transparent account of the laboratory analysis performed on patient samples received from local clinics across the Klang Valley. The data presented herein supports clinical decision-making and contributes to the broader surveillance efforts required in</w:t>
      </w:r>
      <w:r>
        <w:t xml:space="preserve"> </w:t>
      </w:r>
      <w:r>
        <w:t xml:space="preserve">Malaysia Kuala Lumpur</w:t>
      </w:r>
      <w:r>
        <w:t xml:space="preserve">, ensuring that public health and animal welfare standards are maintained at an international level.</w:t>
      </w:r>
    </w:p>
    <w:bookmarkEnd w:id="20"/>
    <w:bookmarkStart w:id="21" w:name="Xbf94ff9e1fdc817e91e823003536d1f6141f59b"/>
    <w:p>
      <w:pPr>
        <w:pStyle w:val="Heading2"/>
      </w:pPr>
      <w:r>
        <w:t xml:space="preserve">2. Patient Information and Sample Collection</w:t>
      </w:r>
    </w:p>
    <w:p>
      <w:pPr>
        <w:pStyle w:val="FirstParagraph"/>
      </w:pPr>
      <w:r>
        <w:rPr>
          <w:bCs/>
          <w:b/>
        </w:rPr>
        <w:t xml:space="preserve">Patient ID:</w:t>
      </w:r>
      <w:r>
        <w:t xml:space="preserve"> </w:t>
      </w:r>
      <w:r>
        <w:t xml:space="preserve">KL-VET-8892-XX</w:t>
      </w:r>
      <w:r>
        <w:br/>
      </w:r>
      <w:r>
        <w:rPr>
          <w:bCs/>
          <w:b/>
        </w:rPr>
        <w:t xml:space="preserve">Type of Animal:</w:t>
      </w:r>
      <w:r>
        <w:t xml:space="preserve"> </w:t>
      </w:r>
      <w:r>
        <w:t xml:space="preserve">Canine (Domestic Shorthair Mix)</w:t>
      </w:r>
      <w:r>
        <w:br/>
      </w:r>
      <w:r>
        <w:rPr>
          <w:bCs/>
          <w:b/>
        </w:rPr>
        <w:t xml:space="preserve">Breed:</w:t>
      </w:r>
      <w:r>
        <w:t xml:space="preserve"> </w:t>
      </w:r>
      <w:r>
        <w:t xml:space="preserve">Mixed Breed</w:t>
      </w:r>
      <w:r>
        <w:br/>
      </w:r>
      <w:r>
        <w:rPr>
          <w:bCs/>
          <w:b/>
        </w:rPr>
        <w:t xml:space="preserve">Age/Sex:</w:t>
      </w:r>
      <w:r>
        <w:t xml:space="preserve"> 3 years / Neutered Male</w:t>
      </w:r>
      <w:r>
        <w:br/>
      </w:r>
    </w:p>
    <w:p>
      <w:pPr>
        <w:pStyle w:val="BodyText"/>
      </w:pPr>
      <w:r>
        <w:t xml:space="preserve">Clinic Location: Mont Kiara,</w:t>
      </w:r>
      <w:r>
        <w:t xml:space="preserve"> </w:t>
      </w:r>
      <w:r>
        <w:t xml:space="preserve">Malaysia Kuala Lumpur</w:t>
      </w:r>
    </w:p>
    <w:p>
      <w:pPr>
        <w:pStyle w:val="BodyText"/>
      </w:pPr>
      <w:r>
        <w:t xml:space="preserve">The patient was referred to our central laboratory facility due to persistent lethargy, intermittent fever, and mild gastrointestinal distress. Given the urban environment of</w:t>
      </w:r>
      <w:r>
        <w:t xml:space="preserve"> </w:t>
      </w:r>
      <w:r>
        <w:t xml:space="preserve">Malaysia Kuala Lumpur</w:t>
      </w:r>
      <w:r>
        <w:t xml:space="preserve">, where vector-borne diseases such as Leishmaniasis and Ehrlichiosis are prevalent due to the tropical climate, a comprehensive panel was requested by the attending</w:t>
      </w:r>
      <w:r>
        <w:t xml:space="preserve"> </w:t>
      </w:r>
      <w:r>
        <w:t xml:space="preserve">Veterinarian</w:t>
      </w:r>
      <w:r>
        <w:t xml:space="preserve">.</w:t>
      </w:r>
    </w:p>
    <w:p>
      <w:pPr>
        <w:pStyle w:val="BodyText"/>
      </w:pPr>
      <w:r>
        <w:rPr>
          <w:bCs/>
          <w:b/>
        </w:rPr>
        <w:t xml:space="preserve">Sample Types:</w:t>
      </w:r>
    </w:p>
    <w:p>
      <w:pPr>
        <w:numPr>
          <w:ilvl w:val="0"/>
          <w:numId w:val="1001"/>
        </w:numPr>
        <w:pStyle w:val="Compact"/>
      </w:pPr>
      <w:r>
        <w:t xml:space="preserve">PED (Pleural, Effusion, Diagnostic) fluid analysis.</w:t>
      </w:r>
    </w:p>
    <w:p>
      <w:pPr>
        <w:numPr>
          <w:ilvl w:val="0"/>
          <w:numId w:val="1001"/>
        </w:numPr>
        <w:pStyle w:val="Compact"/>
      </w:pPr>
      <w:r>
        <w:t xml:space="preserve">Blood smear for parasitic evaluation.</w:t>
      </w:r>
    </w:p>
    <w:p>
      <w:pPr>
        <w:numPr>
          <w:ilvl w:val="0"/>
          <w:numId w:val="1001"/>
        </w:numPr>
        <w:pStyle w:val="Compact"/>
      </w:pPr>
      <w:r>
        <w:t xml:space="preserve">Serum for biochemical profiling.</w:t>
      </w:r>
    </w:p>
    <w:bookmarkEnd w:id="21"/>
    <w:bookmarkStart w:id="24" w:name="laboratory-methodology"/>
    <w:p>
      <w:pPr>
        <w:pStyle w:val="Heading2"/>
      </w:pPr>
      <w:r>
        <w:t xml:space="preserve">3. Laboratory Methodology</w:t>
      </w:r>
    </w:p>
    <w:p>
      <w:pPr>
        <w:pStyle w:val="FirstParagraph"/>
      </w:pPr>
      <w:r>
        <w:t xml:space="preserve">To ensure the integrity of the results, strict adherence to standard operating procedures (SOPs) established by the Department of Veterinary Services in</w:t>
      </w:r>
      <w:r>
        <w:t xml:space="preserve"> </w:t>
      </w:r>
      <w:r>
        <w:t xml:space="preserve">Malaysia Kuala Lumpur</w:t>
      </w:r>
      <w:r>
        <w:t xml:space="preserve"> </w:t>
      </w:r>
      <w:r>
        <w:t xml:space="preserve">was maintained throughout the testing process. The laboratory utilizes automated hematology analyzers for blood cell counts and PCR (Polymerase Chain Reaction) assays for pathogen detection.</w:t>
      </w:r>
    </w:p>
    <w:bookmarkStart w:id="22" w:name="hematology-analysis"/>
    <w:p>
      <w:pPr>
        <w:pStyle w:val="Heading3"/>
      </w:pPr>
      <w:r>
        <w:t xml:space="preserve">3.1 Hematology Analysis</w:t>
      </w:r>
    </w:p>
    <w:p>
      <w:pPr>
        <w:pStyle w:val="FirstParagraph"/>
      </w:pPr>
      <w:r>
        <w:t xml:space="preserve">The complete blood count (CBC) was performed to assess inflammation, anemia, or infection. In the context of tropical urban centers like</w:t>
      </w:r>
      <w:r>
        <w:t xml:space="preserve"> </w:t>
      </w:r>
      <w:r>
        <w:t xml:space="preserve">Malaysia Kuala Lumpur</w:t>
      </w:r>
      <w:r>
        <w:t xml:space="preserve">, it is crucial to differentiate between stress leukograms and true pathological responses. The</w:t>
      </w:r>
      <w:r>
        <w:t xml:space="preserve"> </w:t>
      </w:r>
      <w:r>
        <w:t xml:space="preserve">Veterinarian</w:t>
      </w:r>
      <w:r>
        <w:t xml:space="preserve"> </w:t>
      </w:r>
      <w:r>
        <w:t xml:space="preserve">overseeing this case required precise differentials to rule out bacterial sepsis versus viral etiologies.</w:t>
      </w:r>
    </w:p>
    <w:bookmarkEnd w:id="22"/>
    <w:bookmarkStart w:id="23" w:name="biochemical-profiling"/>
    <w:p>
      <w:pPr>
        <w:pStyle w:val="Heading3"/>
      </w:pPr>
      <w:r>
        <w:t xml:space="preserve">3.2 Biochemical Profiling</w:t>
      </w:r>
    </w:p>
    <w:p>
      <w:pPr>
        <w:pStyle w:val="FirstParagraph"/>
      </w:pPr>
      <w:r>
        <w:t xml:space="preserve">Serum samples were analyzed for liver and kidney function markers (ALT, ALP, BUN, Creatinine). This is particularly important in pet populations residing in high-density housing areas of</w:t>
      </w:r>
      <w:r>
        <w:t xml:space="preserve"> </w:t>
      </w:r>
      <w:r>
        <w:t xml:space="preserve">Malaysia Kuala Lumpur</w:t>
      </w:r>
      <w:r>
        <w:t xml:space="preserve">, where exposure to environmental toxins or household cleaning agents may be a differential diagnosis.</w:t>
      </w:r>
    </w:p>
    <w:bookmarkEnd w:id="23"/>
    <w:bookmarkEnd w:id="24"/>
    <w:bookmarkStart w:id="25" w:name="results-and-findings"/>
    <w:p>
      <w:pPr>
        <w:pStyle w:val="Heading2"/>
      </w:pPr>
      <w:r>
        <w:t xml:space="preserve">4. Results and Findings</w:t>
      </w:r>
    </w:p>
    <w:p>
      <w:pPr>
        <w:pStyle w:val="FirstParagraph"/>
      </w:pPr>
      <w:r>
        <w:rPr>
          <w:bCs/>
          <w:b/>
        </w:rPr>
        <w:t xml:space="preserve">Hematological Findings:</w:t>
      </w:r>
    </w:p>
    <w:p>
      <w:pPr>
        <w:numPr>
          <w:ilvl w:val="0"/>
          <w:numId w:val="1002"/>
        </w:numPr>
        <w:pStyle w:val="Compact"/>
      </w:pPr>
      <w:r>
        <w:rPr>
          <w:bCs/>
          <w:b/>
        </w:rPr>
        <w:t xml:space="preserve">Packed Cell Volume (PCV):</w:t>
      </w:r>
      <w:r>
        <w:t xml:space="preserve"> 38% (Within normal reference range).</w:t>
      </w:r>
    </w:p>
    <w:p>
      <w:pPr>
        <w:numPr>
          <w:ilvl w:val="0"/>
          <w:numId w:val="1002"/>
        </w:numPr>
        <w:pStyle w:val="Compact"/>
      </w:pPr>
      <w:r>
        <w:rPr>
          <w:bCs/>
          <w:b/>
        </w:rPr>
        <w:t xml:space="preserve">Total Protein:</w:t>
      </w:r>
      <w:r>
        <w:t xml:space="preserve"> 6.5 g/dL.</w:t>
      </w:r>
    </w:p>
    <w:p>
      <w:pPr>
        <w:numPr>
          <w:ilvl w:val="0"/>
          <w:numId w:val="1002"/>
        </w:numPr>
        <w:pStyle w:val="Compact"/>
      </w:pPr>
      <w:r>
        <w:rPr>
          <w:bCs/>
          <w:b/>
        </w:rPr>
        <w:t xml:space="preserve">Lymphopenia:</w:t>
      </w:r>
      <w:r>
        <w:t xml:space="preserve"> </w:t>
      </w:r>
      <w:r>
        <w:t xml:space="preserve">Noted, suggesting potential stress or viral suppression.</w:t>
      </w:r>
    </w:p>
    <w:p>
      <w:pPr>
        <w:pStyle w:val="FirstParagraph"/>
      </w:pPr>
      <w:r>
        <w:rPr>
          <w:bCs/>
          <w:b/>
        </w:rPr>
        <w:t xml:space="preserve">Biochemical Findings:</w:t>
      </w:r>
    </w:p>
    <w:p>
      <w:pPr>
        <w:numPr>
          <w:ilvl w:val="0"/>
          <w:numId w:val="1003"/>
        </w:numPr>
        <w:pStyle w:val="Compact"/>
      </w:pPr>
      <w:r>
        <w:rPr>
          <w:bCs/>
          <w:b/>
        </w:rPr>
        <w:t xml:space="preserve">Creatinine:</w:t>
      </w:r>
      <w:r>
        <w:t xml:space="preserve"> 1.2 mg/dL (Normal).</w:t>
      </w:r>
    </w:p>
    <w:p>
      <w:pPr>
        <w:numPr>
          <w:ilvl w:val="0"/>
          <w:numId w:val="1003"/>
        </w:numPr>
        <w:pStyle w:val="Compact"/>
      </w:pPr>
      <w:r>
        <w:rPr>
          <w:bCs/>
          <w:b/>
        </w:rPr>
        <w:t xml:space="preserve">BUN:</w:t>
      </w:r>
      <w:r>
        <w:t xml:space="preserve"> 25 mg/dL (Slightly elevated, indicative of mild dehydration or pre-renal azotemia).</w:t>
      </w:r>
    </w:p>
    <w:p>
      <w:pPr>
        <w:pStyle w:val="FirstParagraph"/>
      </w:pPr>
      <w:r>
        <w:rPr>
          <w:bCs/>
          <w:b/>
        </w:rPr>
        <w:t xml:space="preserve">Microscopic and PCR Results:</w:t>
      </w:r>
    </w:p>
    <w:p>
      <w:pPr>
        <w:pStyle w:val="BodyText"/>
      </w:pPr>
      <w:r>
        <w:t xml:space="preserve">The blood smear examination revealed the presence of intraerythrocytic organisms. Subsequent PCR testing confirmed positive results for</w:t>
      </w:r>
      <w:r>
        <w:t xml:space="preserve"> </w:t>
      </w:r>
      <w:r>
        <w:rPr>
          <w:iCs/>
          <w:i/>
        </w:rPr>
        <w:t xml:space="preserve">Ehrlichia canis</w:t>
      </w:r>
      <w:r>
        <w:t xml:space="preserve">. This finding is consistent with regional trends observed in veterinary practices across</w:t>
      </w:r>
      <w:r>
        <w:t xml:space="preserve"> </w:t>
      </w:r>
      <w:r>
        <w:t xml:space="preserve">Malaysia Kuala Lumpur</w:t>
      </w:r>
      <w:r>
        <w:t xml:space="preserve">, where tick-borne diseases are a significant concern due to the humid climate which favors vector proliferation.</w:t>
      </w:r>
    </w:p>
    <w:bookmarkEnd w:id="25"/>
    <w:bookmarkStart w:id="26" w:name="discussion-and-clinical-interpretation"/>
    <w:p>
      <w:pPr>
        <w:pStyle w:val="Heading2"/>
      </w:pPr>
      <w:r>
        <w:t xml:space="preserve">5. Discussion and Clinical Interpretation</w:t>
      </w:r>
    </w:p>
    <w:p>
      <w:pPr>
        <w:pStyle w:val="FirstParagraph"/>
      </w:pPr>
      <w:r>
        <w:t xml:space="preserve">The diagnosis of Ehrlichiosis aligns with the clinical presentation of lethargy and fever observed in this patient. It is imperative for every practicing</w:t>
      </w:r>
      <w:r>
        <w:t xml:space="preserve"> </w:t>
      </w:r>
      <w:r>
        <w:t xml:space="preserve">Veterinarian</w:t>
      </w:r>
      <w:r>
        <w:t xml:space="preserve"> </w:t>
      </w:r>
      <w:r>
        <w:t xml:space="preserve">in tropical regions to maintain a high index of suspicion for vector-borne diseases, especially when routine blood work shows non-specific changes such as lymphopenia.</w:t>
      </w:r>
    </w:p>
    <w:p>
      <w:pPr>
        <w:pStyle w:val="BodyText"/>
      </w:pPr>
      <w:r>
        <w:t xml:space="preserve">In</w:t>
      </w:r>
      <w:r>
        <w:t xml:space="preserve"> </w:t>
      </w:r>
      <w:r>
        <w:t xml:space="preserve">Malaysia Kuala Lumpur</w:t>
      </w:r>
      <w:r>
        <w:t xml:space="preserve">, the interaction between domestic pets and wild animal reservoirs is frequent. This report highlights the necessity of integrated pest management recommendations alongside medical treatment. The elevated BUN levels suggest that supportive care involving subcutaneous fluids was immediately initiated to correct dehydration, a common complication in animals suffering from gastrointestinal symptoms associated with tick-borne illnesses.</w:t>
      </w:r>
    </w:p>
    <w:p>
      <w:pPr>
        <w:pStyle w:val="BodyText"/>
      </w:pPr>
      <w:r>
        <w:t xml:space="preserve">The laboratory results underscore the importance of regular screening for pets in urban environments. While Kuala Lumpur is a modern metropolis, its ecological diversity means that zoonotic and vector-borne risks remain present. The data collected here contributes to local epidemiological records, helping health authorities in</w:t>
      </w:r>
      <w:r>
        <w:t xml:space="preserve"> </w:t>
      </w:r>
      <w:r>
        <w:t xml:space="preserve">Malaysia Kuala Lumpur</w:t>
      </w:r>
      <w:r>
        <w:t xml:space="preserve"> </w:t>
      </w:r>
      <w:r>
        <w:t xml:space="preserve">track the prevalence of specific pathogens over time.</w:t>
      </w:r>
    </w:p>
    <w:bookmarkEnd w:id="26"/>
    <w:bookmarkStart w:id="27" w:name="recommendations-and-treatment-plan"/>
    <w:p>
      <w:pPr>
        <w:pStyle w:val="Heading2"/>
      </w:pPr>
      <w:r>
        <w:t xml:space="preserve">6. Recommendations and Treatment Plan</w:t>
      </w:r>
    </w:p>
    <w:p>
      <w:pPr>
        <w:pStyle w:val="FirstParagraph"/>
      </w:pPr>
      <w:r>
        <w:t xml:space="preserve">Based on the laboratory findings, the following treatment protocol is recommended by the supervising</w:t>
      </w:r>
      <w:r>
        <w:t xml:space="preserve"> </w:t>
      </w:r>
      <w:r>
        <w:t xml:space="preserve">Veterinarian</w:t>
      </w:r>
      <w:r>
        <w:t xml:space="preserve">:</w:t>
      </w:r>
    </w:p>
    <w:p>
      <w:pPr>
        <w:numPr>
          <w:ilvl w:val="0"/>
          <w:numId w:val="1004"/>
        </w:numPr>
        <w:pStyle w:val="Compact"/>
      </w:pPr>
      <w:r>
        <w:rPr>
          <w:bCs/>
          <w:b/>
        </w:rPr>
        <w:t xml:space="preserve">Antibiotic Therapy:</w:t>
      </w:r>
      <w:r>
        <w:t xml:space="preserve"> Doxycycline administration for 28 days to eliminate the bacterial agent.</w:t>
      </w:r>
    </w:p>
    <w:p>
      <w:pPr>
        <w:numPr>
          <w:ilvl w:val="0"/>
          <w:numId w:val="1004"/>
        </w:numPr>
        <w:pStyle w:val="Compact"/>
      </w:pPr>
      <w:r>
        <w:rPr>
          <w:bCs/>
          <w:b/>
        </w:rPr>
        <w:t xml:space="preserve">Flea and Tick Prevention:</w:t>
      </w:r>
      <w:r>
        <w:t xml:space="preserve"> Implementation of a rigorous topical or oral isoxazoline-based preventive measure to prevent reinfection. This is critical given the high tick density in green spaces within</w:t>
      </w:r>
      <w:r>
        <w:t xml:space="preserve"> </w:t>
      </w:r>
      <w:r>
        <w:t xml:space="preserve">Malaysia Kuala Lumpur</w:t>
      </w:r>
      <w:r>
        <w:t xml:space="preserve">.</w:t>
      </w:r>
    </w:p>
    <w:p>
      <w:pPr>
        <w:numPr>
          <w:ilvl w:val="0"/>
          <w:numId w:val="1004"/>
        </w:numPr>
        <w:pStyle w:val="Compact"/>
      </w:pPr>
      <w:r>
        <w:rPr>
          <w:bCs/>
          <w:b/>
        </w:rPr>
        <w:t xml:space="preserve">Follow-up CBC:</w:t>
      </w:r>
      <w:r>
        <w:t xml:space="preserve"> Re-evaluation of blood parameters in two weeks to monitor recovery and ensure resolution of any hematological abnormalities.</w:t>
      </w:r>
    </w:p>
    <w:bookmarkEnd w:id="27"/>
    <w:bookmarkStart w:id="28" w:name="conclusion"/>
    <w:p>
      <w:pPr>
        <w:pStyle w:val="Heading2"/>
      </w:pPr>
      <w:r>
        <w:t xml:space="preserve">7. Conclusion</w:t>
      </w:r>
    </w:p>
    <w:p>
      <w:pPr>
        <w:pStyle w:val="FirstParagraph"/>
      </w:pPr>
      <w:r>
        <w:t xml:space="preserve">This laboratory report demonstrates the critical role that diagnostic precision plays in modern veterinary medicine. By accurately identifying pathogens such as Ehrlichia, we enable targeted treatment and improve patient outcomes. The specific environmental factors of</w:t>
      </w:r>
      <w:r>
        <w:t xml:space="preserve"> </w:t>
      </w:r>
      <w:r>
        <w:t xml:space="preserve">Malaysia Kuala Lumpur</w:t>
      </w:r>
      <w:r>
        <w:t xml:space="preserve">, including its climate and urban density, dictate a proactive approach to veterinary diagnostics.</w:t>
      </w:r>
    </w:p>
    <w:p>
      <w:pPr>
        <w:pStyle w:val="BodyText"/>
      </w:pPr>
      <w:r>
        <w:t xml:space="preserve">Continued collaboration between laboratory technicians and field</w:t>
      </w:r>
      <w:r>
        <w:t xml:space="preserve"> </w:t>
      </w:r>
      <w:r>
        <w:t xml:space="preserve">Veterinarian</w:t>
      </w:r>
      <w:r>
        <w:t xml:space="preserve">s is essential. This report serves not only as a medical record for the patient but also as a data point for maintaining health standards in the vibrant animal community of</w:t>
      </w:r>
      <w:r>
        <w:t xml:space="preserve"> </w:t>
      </w:r>
      <w:r>
        <w:t xml:space="preserve">Malaysia Kuala Lumpur</w:t>
      </w:r>
      <w:r>
        <w:t xml:space="preserve">. Future studies should focus on seasonal variations in tick-borne disease prevalence to further refine preventive strategies.</w:t>
      </w:r>
    </w:p>
    <w:bookmarkEnd w:id="28"/>
    <w:p>
      <w:pPr>
        <w:pStyle w:val="BodyText"/>
      </w:pPr>
      <w:r>
        <w:rPr>
          <w:iCs/>
          <w:i/>
        </w:rPr>
        <w:t xml:space="preserve">End of Report. Authorized by Senior Veterinary Pathologist, Kuala Lumpur Branch.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Laboratory Report: Kuala Lumpur</dc:title>
  <dc:creator/>
  <dc:language>en</dc:language>
  <cp:keywords/>
  <dcterms:created xsi:type="dcterms:W3CDTF">2026-07-29T18:06:30Z</dcterms:created>
  <dcterms:modified xsi:type="dcterms:W3CDTF">2026-07-29T18:06:30Z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