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Veterinary</w:t>
      </w:r>
      <w:r>
        <w:t xml:space="preserve"> </w:t>
      </w:r>
      <w:r>
        <w:t xml:space="preserve">Laboratory</w:t>
      </w:r>
      <w:r>
        <w:t xml:space="preserve"> </w:t>
      </w:r>
      <w:r>
        <w:t xml:space="preserve">Report:</w:t>
      </w:r>
      <w:r>
        <w:t xml:space="preserve"> </w:t>
      </w:r>
      <w:r>
        <w:t xml:space="preserve">Johannesburg,</w:t>
      </w:r>
      <w:r>
        <w:t xml:space="preserve"> </w:t>
      </w:r>
      <w:r>
        <w:t xml:space="preserve">South</w:t>
      </w:r>
      <w:r>
        <w:t xml:space="preserve"> </w:t>
      </w:r>
      <w:r>
        <w:t xml:space="preserve">Africa</w:t>
      </w:r>
    </w:p>
    <w:bookmarkStart w:id="28" w:name="Xe46b7dc59d73c878ba6d32c405daac48b5a3154"/>
    <w:p>
      <w:pPr>
        <w:pStyle w:val="Heading1"/>
      </w:pPr>
      <w:r>
        <w:t xml:space="preserve">Laboratory Diagnostic Report and Clinical Assessment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Metropolitan Veterinary Laboratory Services</w:t>
      </w:r>
      <w:r>
        <w:br/>
      </w:r>
      <w:r>
        <w:rPr>
          <w:bCs/>
          <w:b/>
        </w:rPr>
        <w:t xml:space="preserve">Facility Location:</w:t>
      </w:r>
      <w:r>
        <w:t xml:space="preserve"> </w:t>
      </w:r>
      <w:r>
        <w:t xml:space="preserve">Johannesburg, Gauteng Province, South Africa</w:t>
      </w:r>
      <w:r>
        <w:br/>
      </w:r>
      <w:r>
        <w:rPr>
          <w:bCs/>
          <w:b/>
        </w:rPr>
        <w:t xml:space="preserve">Patient ID:</w:t>
      </w:r>
      <w:r>
        <w:t xml:space="preserve"> </w:t>
      </w:r>
      <w:r>
        <w:t xml:space="preserve">JHB-8842-CAT</w:t>
      </w:r>
      <w:r>
        <w:br/>
      </w:r>
    </w:p>
    <w:p>
      <w:pPr>
        <w:pStyle w:val="BodyText"/>
      </w:pPr>
      <w:r>
        <w:t xml:space="preserve">Owning Veterinarian Dr. A. Naidoo</w:t>
      </w:r>
    </w:p>
    <w:bookmarkStart w:id="20" w:name="executive-summary-and-introduction"/>
    <w:p>
      <w:pPr>
        <w:pStyle w:val="Heading2"/>
      </w:pPr>
      <w:r>
        <w:t xml:space="preserve">1. Executive Summary and Introduction</w:t>
      </w:r>
    </w:p>
    <w:p>
      <w:pPr>
        <w:pStyle w:val="FirstParagraph"/>
      </w:pPr>
      <w:r>
        <w:t xml:space="preserve">This document serves as a comprehensive laboratory report detailing the clinical pathology findings, diagnostic imaging results, and microbiological cultures associated with Patient ID JHB-8842-CAT. The primary objective of this report is to provide an evidence-based analysis of the patient's health status within the specific epidemiological context of</w:t>
      </w:r>
      <w:r>
        <w:t xml:space="preserve"> </w:t>
      </w:r>
      <w:r>
        <w:rPr>
          <w:bCs/>
          <w:b/>
        </w:rPr>
        <w:t xml:space="preserve">South Africa Johannesburg</w:t>
      </w:r>
      <w:r>
        <w:t xml:space="preserve">. Understanding local disease prevalence is critical for accurate diagnosis and treatment planning.</w:t>
      </w:r>
    </w:p>
    <w:p>
      <w:pPr>
        <w:pStyle w:val="BodyText"/>
      </w:pPr>
      <w:r>
        <w:t xml:space="preserve">The veterinary profession in</w:t>
      </w:r>
      <w:r>
        <w:t xml:space="preserve"> </w:t>
      </w:r>
      <w:r>
        <w:rPr>
          <w:bCs/>
          <w:b/>
        </w:rPr>
        <w:t xml:space="preserve">Johannesburg</w:t>
      </w:r>
      <w:r>
        <w:t xml:space="preserve"> </w:t>
      </w:r>
      <w:r>
        <w:t xml:space="preserve">faces unique challenges due to its dense urban environment, proximity to peri-urban areas, and diverse wildlife interfaces. Consequently, a standard laboratory evaluation must account for region-specific pathogens such as canine parvovirus variants prevalent in Gauteng province or tick-borne diseases that may be encountered even in suburban settings depending on the specific municipality within the city limits. This report highlights how integrated laboratory services support modern</w:t>
      </w:r>
      <w:r>
        <w:t xml:space="preserve"> </w:t>
      </w:r>
      <w:r>
        <w:rPr>
          <w:bCs/>
          <w:b/>
        </w:rPr>
        <w:t xml:space="preserve">Veterinarian</w:t>
      </w:r>
      <w:r>
        <w:t xml:space="preserve"> </w:t>
      </w:r>
      <w:r>
        <w:t xml:space="preserve">practice, ensuring that medical decisions are grounded in precise diagnostic data rather than symptomatic assumption.</w:t>
      </w:r>
    </w:p>
    <w:bookmarkEnd w:id="20"/>
    <w:bookmarkStart w:id="21" w:name="X191a67e918d9087ce74f8b72ef568cd7ba97ca1"/>
    <w:p>
      <w:pPr>
        <w:pStyle w:val="Heading2"/>
      </w:pPr>
      <w:r>
        <w:t xml:space="preserve">2. Patient History and Clinical Presentation</w:t>
      </w:r>
    </w:p>
    <w:p>
      <w:pPr>
        <w:pStyle w:val="FirstParagraph"/>
      </w:pPr>
      <w:r>
        <w:t xml:space="preserve">The patient is a three-year-old male domestic shorthair cat, presenting to the clinic located in the northern suburbs of Johannesburg. The owner reported acute onset lethargy, anorexia for 48 hours, and mild vomiting approximately twice daily prior to admission. Notably, the patient has not been vaccinated against Feline Panleukopenia in over two years and resides in a household with other unvaccinated pets.</w:t>
      </w:r>
    </w:p>
    <w:p>
      <w:pPr>
        <w:pStyle w:val="BodyText"/>
      </w:pPr>
      <w:r>
        <w:t xml:space="preserve">Given the location in</w:t>
      </w:r>
      <w:r>
        <w:t xml:space="preserve"> </w:t>
      </w:r>
      <w:r>
        <w:rPr>
          <w:bCs/>
          <w:b/>
        </w:rPr>
        <w:t xml:space="preserve">South Africa Johannesburg</w:t>
      </w:r>
      <w:r>
        <w:t xml:space="preserve">, environmental factors were also considered. While rabies is largely controlled in domestic populations due to strict vaccination laws, it remains a consideration for any animal presenting with neurological signs or aggressive behavior. However, this patient exhibited no such signs. The primary differential diagnoses included viral gastroenteritis (specifically Feline Panleukopenia), foreign body obstruction, and toxic ingestion.</w:t>
      </w:r>
    </w:p>
    <w:bookmarkEnd w:id="21"/>
    <w:bookmarkStart w:id="25" w:name="laboratory-findings"/>
    <w:p>
      <w:pPr>
        <w:pStyle w:val="Heading2"/>
      </w:pPr>
      <w:r>
        <w:t xml:space="preserve">3. Laboratory Findings</w:t>
      </w:r>
    </w:p>
    <w:bookmarkStart w:id="22" w:name="hematology-and-biochemistry"/>
    <w:p>
      <w:pPr>
        <w:pStyle w:val="Heading3"/>
      </w:pPr>
      <w:r>
        <w:t xml:space="preserve">3.1 Hematology and Biochemistry</w:t>
      </w:r>
    </w:p>
    <w:p>
      <w:pPr>
        <w:pStyle w:val="FirstParagraph"/>
      </w:pPr>
      <w:r>
        <w:t xml:space="preserve">The complete blood count (CBC) revealed significant leukopenia with a marked lymphopenia, which is highly suggestive of a viral etiology affecting rapidly dividing cells in the bone marrow and lymphoid tissue. Specifically, the white blood cell count was 4.2 x 10^9/L (reference range: 5.5–18.5), indicating an immune system suppression consistent with panleukopenia.</w:t>
      </w:r>
    </w:p>
    <w:p>
      <w:pPr>
        <w:pStyle w:val="BodyText"/>
      </w:pPr>
      <w:r>
        <w:t xml:space="preserve">Biochemical analysis showed mild elevations in liver enzymes (ALT and ALP) likely secondary to dehydration and hypovolemia caused by vomiting. Creatinine was within normal limits, ruling out acute renal failure as a primary cause. These findings were processed using automated analyzers calibrated for feline parameters, ensuring high accuracy.</w:t>
      </w:r>
    </w:p>
    <w:bookmarkEnd w:id="22"/>
    <w:bookmarkStart w:id="23" w:name="molecular-diagnostics-pcr"/>
    <w:p>
      <w:pPr>
        <w:pStyle w:val="Heading3"/>
      </w:pPr>
      <w:r>
        <w:t xml:space="preserve">3.2 Molecular Diagnostics (PCR)</w:t>
      </w:r>
    </w:p>
    <w:p>
      <w:pPr>
        <w:pStyle w:val="FirstParagraph"/>
      </w:pPr>
      <w:r>
        <w:t xml:space="preserve">To confirm the suspicion of Feline Panleukopenia Virus (FPV), a Polymerase Chain Reaction (PCR) assay was performed on a fecal swab. This method is particularly valuable in the</w:t>
      </w:r>
      <w:r>
        <w:t xml:space="preserve"> </w:t>
      </w:r>
      <w:r>
        <w:rPr>
          <w:bCs/>
          <w:b/>
        </w:rPr>
        <w:t xml:space="preserve">Veterinarian</w:t>
      </w:r>
      <w:r>
        <w:t xml:space="preserve"> </w:t>
      </w:r>
      <w:r>
        <w:t xml:space="preserve">field for its sensitivity and specificity compared to traditional ELISA tests. The PCR results returned positive for FPV DNA with a high viral load.</w:t>
      </w:r>
    </w:p>
    <w:bookmarkEnd w:id="23"/>
    <w:bookmarkStart w:id="24" w:name="microbiology-culture"/>
    <w:p>
      <w:pPr>
        <w:pStyle w:val="Heading3"/>
      </w:pPr>
      <w:r>
        <w:t xml:space="preserve">3.3 Microbiology Culture</w:t>
      </w:r>
    </w:p>
    <w:p>
      <w:pPr>
        <w:pStyle w:val="FirstParagraph"/>
      </w:pPr>
      <w:r>
        <w:t xml:space="preserve">A skin swab was taken from a small abrasion on the left hind limb, possibly sustained during an outdoor excursion in the Johannesburg bushveld-adjacent areas. The culture grew Staphylococcus pseudintermedius, a common pathogen in South African veterinary practices. Sensitivity testing indicated susceptibility to Cefazolin and Amoxicillin-Clavulanate, guiding antibiotic selection for secondary infection control.</w:t>
      </w:r>
    </w:p>
    <w:p>
      <w:pPr>
        <w:pStyle w:val="BodyText"/>
      </w:pPr>
      <w:r>
        <w:t xml:space="preserve">Test Parameter</w:t>
      </w:r>
    </w:p>
    <w:bookmarkEnd w:id="24"/>
    <w:bookmarkEnd w:id="25"/>
    <w:p>
      <w:pPr>
        <w:pStyle w:val="BodyText"/>
      </w:pPr>
      <w:r>
        <w:t xml:space="preserve">Patient Result</w:t>
      </w:r>
    </w:p>
    <w:p>
      <w:pPr>
        <w:pStyle w:val="BodyText"/>
      </w:pPr>
      <w:r>
        <w:t xml:space="preserve">Reference Range</w:t>
      </w:r>
    </w:p>
    <w:p>
      <w:pPr>
        <w:pStyle w:val="BodyText"/>
      </w:pPr>
      <w:r>
        <w:t xml:space="preserve">Clinical Significance</w:t>
      </w:r>
    </w:p>
    <w:p>
      <w:pPr>
        <w:pStyle w:val="BodyText"/>
      </w:pPr>
      <w:r>
        <w:t xml:space="preserve">/&gt; &gt;t/td&gt;&lt;&gt;/thead&gt;/tbody;/table;</w:t>
      </w:r>
    </w:p>
    <w:p>
      <w:pPr>
        <w:pStyle w:val="BodyText"/>
      </w:pPr>
      <w:r>
        <w:t xml:space="preserve">;t;/table&gt;;</w:t>
      </w:r>
    </w:p>
    <w:p>
      <w:pPr>
        <w:pStyle w:val="BodyText"/>
      </w:pPr>
      <w:r>
        <w:t xml:space="preserve">;</w:t>
      </w:r>
    </w:p>
    <w:p>
      <w:pPr>
        <w:pStyle w:val="BodyText"/>
      </w:pPr>
      <w:r>
        <w:t xml:space="preserve">The integration of these laboratory results allowed the attending</w:t>
      </w:r>
      <w:r>
        <w:t xml:space="preserve"> </w:t>
      </w:r>
      <w:r>
        <w:rPr>
          <w:bCs/>
          <w:b/>
        </w:rPr>
        <w:t xml:space="preserve">Veterinarian</w:t>
      </w:r>
      <w:r>
        <w:t xml:space="preserve"> </w:t>
      </w:r>
      <w:r>
        <w:t xml:space="preserve">to make a definitive diagnosis. The combination of clinical signs, leukopenia on hematology, and positive PCR for FPV confirmed Feline Panleukopenia. This case underscores the importance of rapid laboratory diagnostics in managing infectious diseases prevalent in urban centers like</w:t>
      </w:r>
      <w:r>
        <w:t xml:space="preserve"> </w:t>
      </w:r>
      <w:r>
        <w:rPr>
          <w:bCs/>
          <w:b/>
        </w:rPr>
        <w:t xml:space="preserve">South Africa Johannesburg</w:t>
      </w:r>
      <w:r>
        <w:t xml:space="preserve">.</w:t>
      </w:r>
    </w:p>
    <w:bookmarkStart w:id="26" w:name="X2196c733e2217e7da9e480c212ce98401b23b71"/>
    <w:p>
      <w:pPr>
        <w:pStyle w:val="Heading2"/>
      </w:pPr>
      <w:r>
        <w:t xml:space="preserve">4. Discussion: The Role of Laboratory Medicine in Local Veterinary Practice</w:t>
      </w:r>
    </w:p>
    <w:p>
      <w:pPr>
        <w:pStyle w:val="FirstParagraph"/>
      </w:pPr>
      <w:r>
        <w:t xml:space="preserve">In the context of veterinary medicine, laboratory reports are not merely collections of numbers; they are narratives that explain the physiological state of the animal. In Johannesburg, where climate and urban density create specific disease vectors, lab data must be interpreted with local epidemiology in mind.</w:t>
      </w:r>
    </w:p>
    <w:p>
      <w:pPr>
        <w:pStyle w:val="BodyText"/>
      </w:pPr>
      <w:r>
        <w:t xml:space="preserve">For instance, while Feline Panleukopenia is a global concern, its incidence can fluctuate based on vaccination compliance rates within specific communities in Gauteng. This report demonstrates how a thorough laboratory investigation mitigates risk by providing clarity. Furthermore, the ability to perform rapid PCR testing locally reduces the turnaround time from days to hours, allowing for immediate isolation protocols to prevent nosocomial spread within the clinic.</w:t>
      </w:r>
    </w:p>
    <w:p>
      <w:pPr>
        <w:pStyle w:val="BodyText"/>
      </w:pPr>
      <w:r>
        <w:t xml:space="preserve">The role of the</w:t>
      </w:r>
      <w:r>
        <w:t xml:space="preserve"> </w:t>
      </w:r>
      <w:r>
        <w:rPr>
          <w:bCs/>
          <w:b/>
        </w:rPr>
        <w:t xml:space="preserve">Veterinarian</w:t>
      </w:r>
      <w:r>
        <w:t xml:space="preserve"> </w:t>
      </w:r>
      <w:r>
        <w:t xml:space="preserve">has evolved from clinical observation alone to one that heavily relies on diagnostic medicine. The laboratory report bridges the gap between subjective symptoms and objective pathology. In</w:t>
      </w:r>
      <w:r>
        <w:t xml:space="preserve"> </w:t>
      </w:r>
      <w:r>
        <w:rPr>
          <w:bCs/>
          <w:b/>
        </w:rPr>
        <w:t xml:space="preserve">South Africa Johannesburg</w:t>
      </w:r>
      <w:r>
        <w:t xml:space="preserve">, where resources can sometimes be strained, efficient lab workflows ensure that expensive treatments are only administered when diagnostics justify them, optimizing care for both the pet and the owner.</w:t>
      </w:r>
    </w:p>
    <w:bookmarkEnd w:id="26"/>
    <w:bookmarkStart w:id="27" w:name="treatment-plan-and-prognosis"/>
    <w:p>
      <w:pPr>
        <w:pStyle w:val="Heading2"/>
      </w:pPr>
      <w:r>
        <w:t xml:space="preserve">5. Treatment Plan and Prognosis</w:t>
      </w:r>
    </w:p>
    <w:p>
      <w:pPr>
        <w:pStyle w:val="FirstParagraph"/>
      </w:pPr>
      <w:r>
        <w:t xml:space="preserve">Based on the laboratory findings, a supportive care regimen was initiated:</w:t>
      </w:r>
    </w:p>
    <w:p>
      <w:pPr>
        <w:pStyle w:val="BodyText"/>
      </w:pPr>
      <w:r>
        <w:t xml:space="preserve">;t;/li&gt;;t;/ul&gt;;/&gt;/td&gt;/tbody&gt;/table;</w:t>
      </w:r>
    </w:p>
    <w:p>
      <w:pPr>
        <w:pStyle w:val="BodyText"/>
      </w:pPr>
      <w:r>
        <w:t xml:space="preserve">Fecal PCR (FPV) /strong&gt;</w:t>
      </w:r>
    </w:p>
    <w:p>
      <w:pPr>
        <w:pStyle w:val="BodyText"/>
      </w:pPr>
      <w:r>
        <w:t xml:space="preserve">&gt;/td/&gt;</w:t>
      </w:r>
    </w:p>
    <w:p>
      <w:pPr>
        <w:pStyle w:val="BodyText"/>
      </w:pPr>
      <w:r>
        <w:t xml:space="preserve">Positive</w:t>
      </w:r>
    </w:p>
    <w:p>
      <w:pPr>
        <w:pStyle w:val="BodyText"/>
      </w:pPr>
      <w:r>
        <w:t xml:space="preserve">&gt;/td/&gt;</w:t>
      </w:r>
    </w:p>
    <w:p>
      <w:pPr>
        <w:pStyle w:val="BodyText"/>
      </w:pPr>
      <w:r>
        <w:t xml:space="preserve">Negative</w:t>
      </w:r>
    </w:p>
    <w:p>
      <w:pPr>
        <w:pStyle w:val="BodyText"/>
      </w:pPr>
      <w:r>
        <w:t xml:space="preserve">/&gt;t;/tr&gt;;t;/tbody&gt;/table;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Veterinary Laboratory Report: Johannesburg, South Africa</dc:title>
  <dc:creator/>
  <dc:language>en</dc:language>
  <cp:keywords/>
  <dcterms:created xsi:type="dcterms:W3CDTF">2026-07-29T19:56:18Z</dcterms:created>
  <dcterms:modified xsi:type="dcterms:W3CDTF">2026-07-29T19:56:18Z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