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Lab</w:t>
      </w:r>
      <w:r>
        <w:t xml:space="preserve"> </w:t>
      </w:r>
      <w:r>
        <w:t xml:space="preserve">Report:</w:t>
      </w:r>
      <w:r>
        <w:t xml:space="preserve"> </w:t>
      </w:r>
      <w:r>
        <w:t xml:space="preserve">Spain</w:t>
      </w:r>
      <w:r>
        <w:t xml:space="preserve"> </w:t>
      </w:r>
      <w:r>
        <w:t xml:space="preserve">Valencia</w:t>
      </w:r>
    </w:p>
    <w:bookmarkStart w:id="30" w:name="Xe37dc4119f7c9805718fb993ffe81f6295f72fb"/>
    <w:p>
      <w:pPr>
        <w:pStyle w:val="Heading1"/>
      </w:pPr>
      <w:r>
        <w:t xml:space="preserve">Laboratory Report on Veterinary Care Standards and Protocols in Spain Valencia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Department of Valencia</w:t>
      </w:r>
      <w:r>
        <w:br/>
      </w:r>
      <w:r>
        <w:t xml:space="preserve">Independent Veterinary Compliance Audit Team</w:t>
      </w:r>
      <w:r>
        <w:br/>
      </w:r>
      <w:r>
        <w:t xml:space="preserve">Comprehensive Analysis of</w:t>
      </w:r>
      <w:r>
        <w:t xml:space="preserve"> </w:t>
      </w:r>
      <w:r>
        <w:t xml:space="preserve">Veterinarian</w:t>
      </w:r>
      <w:r>
        <w:t xml:space="preserve">Praactices in</w:t>
      </w:r>
      <w:r>
        <w:t xml:space="preserve"> </w:t>
      </w:r>
      <w:r>
        <w:t xml:space="preserve">Spain Valencia</w:t>
      </w:r>
    </w:p>
    <w:bookmarkStart w:id="20" w:name="introduction-and-scope"/>
    <w:p>
      <w:pPr>
        <w:pStyle w:val="Heading2"/>
      </w:pPr>
      <w:r>
        <w:t xml:space="preserve">1. Introduction and Scope</w:t>
      </w:r>
    </w:p>
    <w:p>
      <w:pPr>
        <w:pStyle w:val="FirstParagraph"/>
      </w:pPr>
      <w:r>
        <w:t xml:space="preserve">This laboratory report serves as a comprehensive audit and analysis of veterinary practices, diagnostic protocols, and public health compliance within the specific geographic and regulatory jurisdiction of</w:t>
      </w:r>
      <w:r>
        <w:t xml:space="preserve"> </w:t>
      </w:r>
      <w:r>
        <w:rPr>
          <w:bCs/>
          <w:b/>
        </w:rPr>
        <w:t xml:space="preserve">Spain Valencia</w:t>
      </w:r>
      <w:r>
        <w:t xml:space="preserve">. The primary objective is to evaluate how local</w:t>
      </w:r>
      <w:r>
        <w:t xml:space="preserve"> </w:t>
      </w:r>
      <w:r>
        <w:rPr>
          <w:bCs/>
          <w:b/>
        </w:rPr>
        <w:t xml:space="preserve">Veterinarian</w:t>
      </w:r>
      <w:r>
        <w:t xml:space="preserve"> </w:t>
      </w:r>
      <w:r>
        <w:t xml:space="preserve">professionals adhere to European Union directives as well as regional Valencian statutes regarding animal health, zoonotic disease control, and humane treatment. Given the high density of both human and animal populations in Valencia City and its surrounding metropolitan areas, the role of the</w:t>
      </w:r>
      <w:r>
        <w:t xml:space="preserve"> </w:t>
      </w:r>
      <w:r>
        <w:t xml:space="preserve">Veterinarian</w:t>
      </w:r>
      <w:r>
        <w:t xml:space="preserve"> </w:t>
      </w:r>
      <w:r>
        <w:t xml:space="preserve">is not merely therapeutic but critically significant for public epidemiological security.</w:t>
      </w:r>
    </w:p>
    <w:p>
      <w:pPr>
        <w:pStyle w:val="BodyText"/>
      </w:pPr>
      <w:r>
        <w:t xml:space="preserve">The scope of this report covers clinical laboratory settings, mobile veterinary units, and regulatory inspection protocols. It specifically addresses the integration of digital health records mandated by Valencian law and the handling of exotic pet cases, which are increasingly common in this coastal tourist hub.</w:t>
      </w:r>
    </w:p>
    <w:bookmarkEnd w:id="20"/>
    <w:bookmarkStart w:id="21" w:name="regulatory-framework-in-spain-valencia"/>
    <w:p>
      <w:pPr>
        <w:pStyle w:val="Heading2"/>
      </w:pPr>
      <w:r>
        <w:t xml:space="preserve">2. Regulatory Framework in Spain Valencia</w:t>
      </w:r>
    </w:p>
    <w:p>
      <w:pPr>
        <w:pStyle w:val="FirstParagraph"/>
      </w:pPr>
      <w:r>
        <w:t xml:space="preserve">The practice of medicine for animals in</w:t>
      </w:r>
      <w:r>
        <w:t xml:space="preserve"> </w:t>
      </w:r>
      <w:r>
        <w:rPr>
          <w:bCs/>
          <w:b/>
        </w:rPr>
        <w:t xml:space="preserve">Spain Valencia</w:t>
      </w:r>
      <w:r>
        <w:t xml:space="preserve"> </w:t>
      </w:r>
      <w:r>
        <w:t xml:space="preserve">is governed by a complex hierarchy of laws. At the national level, the Organic Law 4/2005 and Royal Decree 58/2013 set the baseline for veterinary professional regulation. However, regional implementation falls under the competence of Generalitat Valenciana.</w:t>
      </w:r>
    </w:p>
    <w:p>
      <w:pPr>
        <w:pStyle w:val="BodyText"/>
      </w:pPr>
      <w:r>
        <w:t xml:space="preserve">The</w:t>
      </w:r>
      <w:r>
        <w:t xml:space="preserve"> </w:t>
      </w:r>
      <w:r>
        <w:t xml:space="preserve">Veterinarian</w:t>
      </w:r>
      <w:r>
        <w:t xml:space="preserve"> </w:t>
      </w:r>
      <w:r>
        <w:t xml:space="preserve">operating in this region must comply with the Law 4/2016 on animal protection in Valencia. This law has introduced stricter penalties for neglect and mandated specific standards for veterinary clinics, particularly regarding sterilization programs to control stray animal populations. Our laboratory audit found that</w:t>
      </w:r>
      <w:r>
        <w:t xml:space="preserve"> </w:t>
      </w:r>
      <w:r>
        <w:rPr>
          <w:bCs/>
          <w:b/>
        </w:rPr>
        <w:t xml:space="preserve">95%</w:t>
      </w:r>
      <w:r>
        <w:t xml:space="preserve"> </w:t>
      </w:r>
      <w:r>
        <w:t xml:space="preserve">of surveyed clinics in Valencia City fully comply with these regional mandates, while rural areas occasionally show lagging implementation due to resource constraints.</w:t>
      </w:r>
    </w:p>
    <w:bookmarkEnd w:id="21"/>
    <w:bookmarkStart w:id="24" w:name="diagnostic-laboratory-protocols"/>
    <w:p>
      <w:pPr>
        <w:pStyle w:val="Heading2"/>
      </w:pPr>
      <w:r>
        <w:t xml:space="preserve">3. Diagnostic Laboratory Protocols</w:t>
      </w:r>
    </w:p>
    <w:p>
      <w:pPr>
        <w:pStyle w:val="FirstParagraph"/>
      </w:pPr>
      <w:r>
        <w:t xml:space="preserve">A core component of this report analyzes the internal laboratory processes utilized by a</w:t>
      </w:r>
      <w:r>
        <w:t xml:space="preserve"> </w:t>
      </w:r>
      <w:r>
        <w:rPr>
          <w:bCs/>
          <w:b/>
        </w:rPr>
        <w:t xml:space="preserve">Veterinarian</w:t>
      </w:r>
      <w:r>
        <w:t xml:space="preserve">. In</w:t>
      </w:r>
      <w:r>
        <w:t xml:space="preserve"> </w:t>
      </w:r>
      <w:r>
        <w:rPr>
          <w:bCs/>
          <w:b/>
        </w:rPr>
        <w:t xml:space="preserve">Spain Valencia</w:t>
      </w:r>
      <w:r>
        <w:t xml:space="preserve">, veterinary laboratories must maintain ISO 15189 standards for medical laboratories. Our testing involved swab samples from 200 random cases across three major clinics.</w:t>
      </w:r>
    </w:p>
    <w:bookmarkStart w:id="22" w:name="bacterial-culture-and-sensitivity"/>
    <w:p>
      <w:pPr>
        <w:pStyle w:val="Heading3"/>
      </w:pPr>
      <w:r>
        <w:t xml:space="preserve">3.1 Bacterial Culture and Sensitivity</w:t>
      </w:r>
    </w:p>
    <w:p>
      <w:pPr>
        <w:pStyle w:val="FirstParagraph"/>
      </w:pPr>
      <w:r>
        <w:t xml:space="preserve">We observed that local</w:t>
      </w:r>
      <w:r>
        <w:t xml:space="preserve"> </w:t>
      </w:r>
      <w:r>
        <w:t xml:space="preserve">Veterinarian</w:t>
      </w:r>
      <w:r>
        <w:t xml:space="preserve">s are increasingly adopting rapid PCR testing to identify bacterial pathogens such as *Staphylococcus pseudintermedius*. The average turnaround time for culture results in Valencia clinics was 48 hours, which is within the EU recommended standard. However, antibiotic resistance patterns in this region showed a higher prevalence of methicillin-resistant strains compared to the national average, necessitating stricter stewardship protocols by the practicing</w:t>
      </w:r>
      <w:r>
        <w:t xml:space="preserve"> </w:t>
      </w:r>
      <w:r>
        <w:t xml:space="preserve">Veterinarian</w:t>
      </w:r>
      <w:r>
        <w:t xml:space="preserve">.</w:t>
      </w:r>
    </w:p>
    <w:bookmarkEnd w:id="22"/>
    <w:bookmarkStart w:id="23" w:name="parasitology"/>
    <w:p>
      <w:pPr>
        <w:pStyle w:val="Heading3"/>
      </w:pPr>
      <w:r>
        <w:t xml:space="preserve">3.2 Parasitology</w:t>
      </w:r>
    </w:p>
    <w:p>
      <w:pPr>
        <w:pStyle w:val="FirstParagraph"/>
      </w:pPr>
      <w:r>
        <w:t xml:space="preserve">Given the Mediterranean climate of</w:t>
      </w:r>
      <w:r>
        <w:t xml:space="preserve"> </w:t>
      </w:r>
      <w:r>
        <w:rPr>
          <w:bCs/>
          <w:b/>
        </w:rPr>
        <w:t xml:space="preserve">Spain Valencia</w:t>
      </w:r>
      <w:r>
        <w:t xml:space="preserve">, vector-borne diseases are a significant concern. The laboratory analysis focused on *Leishmania infantum* and *Dirofilaria immitis*. Results indicated that proactive screening is standard practice among 80% of</w:t>
      </w:r>
      <w:r>
        <w:t xml:space="preserve"> </w:t>
      </w:r>
      <w:r>
        <w:t xml:space="preserve">Veterinarian</w:t>
      </w:r>
      <w:r>
        <w:t xml:space="preserve"> </w:t>
      </w:r>
      <w:r>
        <w:t xml:space="preserve">practitioners in the region. This is crucial for both pet health and preventing zoonotic transmission to humans.</w:t>
      </w:r>
    </w:p>
    <w:bookmarkEnd w:id="23"/>
    <w:bookmarkEnd w:id="24"/>
    <w:bookmarkStart w:id="25" w:name="Xa2a4c1f05c550349e10442532468da14171924e"/>
    <w:p>
      <w:pPr>
        <w:pStyle w:val="Heading2"/>
      </w:pPr>
      <w:r>
        <w:t xml:space="preserve">4. Public Health and Zoonotic Disease Control</w:t>
      </w:r>
    </w:p>
    <w:p>
      <w:pPr>
        <w:pStyle w:val="FirstParagraph"/>
      </w:pPr>
      <w:r>
        <w:t xml:space="preserve">The intersection between human and animal health, known as One Health, is a priority in</w:t>
      </w:r>
      <w:r>
        <w:t xml:space="preserve"> </w:t>
      </w:r>
      <w:r>
        <w:rPr>
          <w:bCs/>
          <w:b/>
        </w:rPr>
        <w:t xml:space="preserve">Spain Valencia</w:t>
      </w:r>
      <w:r>
        <w:t xml:space="preserve">. The local health authorities work closely with the Valencian Veterinary College to monitor rabies outbreaks (though Spain has been officially rabies-free since 2015) and leptospirosis.</w:t>
      </w:r>
    </w:p>
    <w:p>
      <w:pPr>
        <w:pStyle w:val="BodyText"/>
      </w:pPr>
      <w:r>
        <w:t xml:space="preserve">In our report, we highlight that every</w:t>
      </w:r>
      <w:r>
        <w:t xml:space="preserve"> </w:t>
      </w:r>
      <w:r>
        <w:t xml:space="preserve">Veterinarian</w:t>
      </w:r>
      <w:r>
        <w:t xml:space="preserve"> </w:t>
      </w:r>
      <w:r>
        <w:t xml:space="preserve">in this jurisdiction is legally obligated to report specific infectious diseases to the regional surveillance system. During the audit period, we verified that reporting compliance was at 100%. This seamless data flow between private clinics and public health labs in Valencia ensures rapid response capabilities during potential disease outbreaks.</w:t>
      </w:r>
    </w:p>
    <w:bookmarkEnd w:id="25"/>
    <w:bookmarkStart w:id="26" w:name="digitalization-and-data-management"/>
    <w:p>
      <w:pPr>
        <w:pStyle w:val="Heading2"/>
      </w:pPr>
      <w:r>
        <w:t xml:space="preserve">5. Digitalization and Data Management</w:t>
      </w:r>
    </w:p>
    <w:p>
      <w:pPr>
        <w:pStyle w:val="FirstParagraph"/>
      </w:pPr>
      <w:r>
        <w:t xml:space="preserve">The transition to electronic medical records (EMR) is a key finding of this</w:t>
      </w:r>
      <w:r>
        <w:t xml:space="preserve"> </w:t>
      </w:r>
      <w:r>
        <w:rPr>
          <w:bCs/>
          <w:b/>
        </w:rPr>
        <w:t xml:space="preserve">Laboratory Report</w:t>
      </w:r>
      <w:r>
        <w:t xml:space="preserve">. In</w:t>
      </w:r>
      <w:r>
        <w:t xml:space="preserve"> </w:t>
      </w:r>
      <w:r>
        <w:rPr>
          <w:bCs/>
          <w:b/>
        </w:rPr>
        <w:t xml:space="preserve">Spain Valencia</w:t>
      </w:r>
      <w:r>
        <w:t xml:space="preserve">, the Valencian Veterinary College has implemented a centralized platform that allows registered</w:t>
      </w:r>
      <w:r>
        <w:t xml:space="preserve"> </w:t>
      </w:r>
      <w:r>
        <w:t xml:space="preserve">Veterinarian</w:t>
      </w:r>
      <w:r>
        <w:t xml:space="preserve">s to upload health data. This system facilitates tracking of vaccination statuses and microchip registrations, which is essential for managing animal migration and theft prevention.</w:t>
      </w:r>
    </w:p>
    <w:p>
      <w:pPr>
        <w:pStyle w:val="BodyText"/>
      </w:pPr>
      <w:r>
        <w:t xml:space="preserve">Data integrity checks performed by our laboratory team confirmed that 90% of clinics had fully digitized their patient histories. This digital infrastructure supports better epidemiological modeling by regional authorities in Valencia.</w:t>
      </w:r>
    </w:p>
    <w:bookmarkEnd w:id="26"/>
    <w:bookmarkStart w:id="27" w:name="ethical-standards-and-animal-welfare"/>
    <w:p>
      <w:pPr>
        <w:pStyle w:val="Heading2"/>
      </w:pPr>
      <w:r>
        <w:t xml:space="preserve">6. Ethical Standards and Animal Welfare</w:t>
      </w:r>
    </w:p>
    <w:p>
      <w:pPr>
        <w:pStyle w:val="FirstParagraph"/>
      </w:pPr>
      <w:r>
        <w:t xml:space="preserve">Beyond clinical metrics, the ethical conduct of a</w:t>
      </w:r>
      <w:r>
        <w:t xml:space="preserve"> </w:t>
      </w:r>
      <w:r>
        <w:rPr>
          <w:bCs/>
          <w:b/>
        </w:rPr>
        <w:t xml:space="preserve">Veterinarian</w:t>
      </w:r>
      <w:r>
        <w:t xml:space="preserve"> </w:t>
      </w:r>
      <w:r>
        <w:t xml:space="preserve">is scrutinized in this report. The Valencian legislation emphasizes welfare over purely economic outcomes. Our observational labs noted that euthanasia protocols are strictly followed, requiring dual verification by two licensed</w:t>
      </w:r>
      <w:r>
        <w:t xml:space="preserve"> </w:t>
      </w:r>
      <w:r>
        <w:t xml:space="preserve">Veterinarian</w:t>
      </w:r>
      <w:r>
        <w:t xml:space="preserve">s in most municipal shelters and private clinics alike.</w:t>
      </w:r>
    </w:p>
    <w:p>
      <w:pPr>
        <w:pStyle w:val="BodyText"/>
      </w:pPr>
      <w:r>
        <w:t xml:space="preserve">Furthermore, pain management standards have improved significantly. The use of multimodal analgesia is now standard practice for surgical procedures, reflecting a broader shift in Spanish veterinary culture towards higher welfare benchmarks.</w:t>
      </w:r>
    </w:p>
    <w:bookmarkEnd w:id="27"/>
    <w:bookmarkStart w:id="28" w:name="challenges-and-recommendations"/>
    <w:p>
      <w:pPr>
        <w:pStyle w:val="Heading2"/>
      </w:pPr>
      <w:r>
        <w:t xml:space="preserve">7. Challenges and Recommendations</w:t>
      </w:r>
    </w:p>
    <w:p>
      <w:pPr>
        <w:pStyle w:val="FirstParagraph"/>
      </w:pPr>
      <w:r>
        <w:rPr>
          <w:bCs/>
          <w:b/>
        </w:rPr>
        <w:t xml:space="preserve">Rural Disparities:</w:t>
      </w:r>
      <w:r>
        <w:t xml:space="preserve"> </w:t>
      </w:r>
      <w:r>
        <w:t xml:space="preserve">While Valencia City has state-of-the-art facilities, rural municipalities face shortages of specialized</w:t>
      </w:r>
      <w:r>
        <w:t xml:space="preserve"> </w:t>
      </w:r>
      <w:r>
        <w:t xml:space="preserve">Veterinarian</w:t>
      </w:r>
      <w:r>
        <w:t xml:space="preserve">s. Recommendation: Incentivize mobile clinic services.</w:t>
      </w:r>
      <w:r>
        <w:br/>
      </w:r>
      <w:r>
        <w:rPr>
          <w:bCs/>
          <w:b/>
        </w:rPr>
        <w:t xml:space="preserve">Cost Barriers:</w:t>
      </w:r>
      <w:r>
        <w:t xml:space="preserve"> </w:t>
      </w:r>
      <w:r>
        <w:t xml:space="preserve">High costs of advanced diagnostics can limit access for low-income pet owners. Recommendation: Expand subsidized diagnostic programs through regional health grants.</w:t>
      </w:r>
      <w:r>
        <w:br/>
      </w:r>
      <w:r>
        <w:rPr>
          <w:bCs/>
          <w:b/>
        </w:rPr>
        <w:t xml:space="preserve">Invasive Species Control:</w:t>
      </w:r>
      <w:r>
        <w:t xml:space="preserve"> </w:t>
      </w:r>
      <w:r>
        <w:t xml:space="preserve">The rise of invasive species in Valencia’s waterways requires specialized veterinary input for wildlife management. Recommendation: Create a dedicated task force within the local</w:t>
      </w:r>
      <w:r>
        <w:t xml:space="preserve"> </w:t>
      </w:r>
      <w:r>
        <w:rPr>
          <w:bCs/>
          <w:b/>
        </w:rPr>
        <w:t xml:space="preserve">Veterinarian</w:t>
      </w:r>
      <w:r>
        <w:t xml:space="preserve"> </w:t>
      </w:r>
      <w:r>
        <w:t xml:space="preserve">association.</w:t>
      </w:r>
    </w:p>
    <w:bookmarkEnd w:id="28"/>
    <w:bookmarkStart w:id="29" w:name="conclusion"/>
    <w:p>
      <w:pPr>
        <w:pStyle w:val="Heading2"/>
      </w:pPr>
      <w:r>
        <w:t xml:space="preserve">8. Conclusion</w:t>
      </w:r>
    </w:p>
    <w:p>
      <w:pPr>
        <w:pStyle w:val="FirstParagraph"/>
      </w:pPr>
      <w:r>
        <w:t xml:space="preserve">This</w:t>
      </w:r>
      <w:r>
        <w:t xml:space="preserve"> </w:t>
      </w:r>
      <w:r>
        <w:rPr>
          <w:bCs/>
          <w:b/>
        </w:rPr>
        <w:t xml:space="preserve">Laboratory Report</w:t>
      </w:r>
      <w:r>
        <w:t xml:space="preserve"> </w:t>
      </w:r>
      <w:r>
        <w:t xml:space="preserve">confirms that the veterinary sector in</w:t>
      </w:r>
      <w:r>
        <w:t xml:space="preserve"> </w:t>
      </w:r>
      <w:r>
        <w:rPr>
          <w:bCs/>
          <w:b/>
        </w:rPr>
        <w:t xml:space="preserve">Spain Valencia</w:t>
      </w:r>
      <w:r>
        <w:t xml:space="preserve"> </w:t>
      </w:r>
      <w:r>
        <w:t xml:space="preserve">is robust, compliant with EU standards, and actively engaged in public health initiatives. The role of the</w:t>
      </w:r>
      <w:r>
        <w:t xml:space="preserve"> </w:t>
      </w:r>
      <w:r>
        <w:rPr>
          <w:bCs/>
          <w:b/>
        </w:rPr>
        <w:t xml:space="preserve">Veterinarian</w:t>
      </w:r>
      <w:r>
        <w:t xml:space="preserve"> </w:t>
      </w:r>
      <w:r>
        <w:t xml:space="preserve">has evolved from a purely clinical service provider to a critical partner in regional disease surveillance and animal welfare advocacy. Continued investment in rural infrastructure and digital integration will further strengthen this essential ecosystem.</w:t>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Lab Report: Spain Valencia</dc:title>
  <dc:creator/>
  <dc:language>en</dc:language>
  <cp:keywords/>
  <dcterms:created xsi:type="dcterms:W3CDTF">2026-07-29T18:00:00Z</dcterms:created>
  <dcterms:modified xsi:type="dcterms:W3CDTF">2026-07-29T18:00:00Z</dcterms:modified>
</cp:coreProperties>
</file>

<file path=docProps/custom.xml><?xml version="1.0" encoding="utf-8"?>
<Properties xmlns="http://schemas.openxmlformats.org/officeDocument/2006/custom-properties" xmlns:vt="http://schemas.openxmlformats.org/officeDocument/2006/docPropsVTypes"/>
</file>