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Veterinary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table { width: 100%; border-collapse: collapse; margin-bottom: 25px;}</w:t>
      </w:r>
      <w:r>
        <w:t xml:space="preserve"> </w:t>
      </w:r>
      <w:r>
        <w:t xml:space="preserve">th, td { border-left: 4px solid #ccc; padding-left="8" cellpadding="6"; }</w:t>
      </w:r>
    </w:p>
    <w:bookmarkStart w:id="20" w:name="X1a4a8751bcb54de03ba2936a53958b12ad623a5"/>
    <w:p>
      <w:pPr>
        <w:pStyle w:val="Heading1"/>
      </w:pPr>
      <w:r>
        <w:t xml:space="preserve">Laboratory Report on Veterinary Diagnostic Services and Clinical Observations in Kampala, Uganda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Laboratory Report ID:</w:t>
      </w:r>
    </w:p>
    <w:p>
      <w:pPr>
        <w:pStyle w:val="BodyText"/>
      </w:pPr>
      <w:r>
        <w:t xml:space="preserve">VET-KLA-2023-Uganda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Veterinary Services in Kampala, Uganda</dc:title>
  <dc:creator/>
  <dc:language>en</dc:language>
  <cp:keywords/>
  <dcterms:created xsi:type="dcterms:W3CDTF">2026-09-26T20:19:43Z</dcterms:created>
  <dcterms:modified xsi:type="dcterms:W3CDTF">2026-09-26T20:19:43Z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