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Clinical</w:t>
      </w:r>
      <w:r>
        <w:t xml:space="preserve"> </w:t>
      </w:r>
      <w:r>
        <w:t xml:space="preserve">Lab</w:t>
      </w:r>
      <w:r>
        <w:t xml:space="preserve"> </w:t>
      </w:r>
      <w:r>
        <w:t xml:space="preserve">Report:</w:t>
      </w:r>
      <w:r>
        <w:t xml:space="preserve"> </w:t>
      </w:r>
      <w:r>
        <w:t xml:space="preserve">Comprehensive</w:t>
      </w:r>
      <w:r>
        <w:t xml:space="preserve"> </w:t>
      </w:r>
      <w:r>
        <w:t xml:space="preserve">Diagnostic</w:t>
      </w:r>
      <w:r>
        <w:t xml:space="preserve"> </w:t>
      </w:r>
      <w:r>
        <w:t xml:space="preserve">Analysis</w:t>
      </w:r>
    </w:p>
    <w:bookmarkStart w:id="27" w:name="X42829f14bcb0d8f7d7eff22173bfadd5515c501"/>
    <w:p>
      <w:pPr>
        <w:pStyle w:val="Heading1"/>
      </w:pPr>
      <w:r>
        <w:t xml:space="preserve">Clinical Pathology &amp; Diagnostic Laboratory Report</w:t>
      </w:r>
    </w:p>
    <w:p>
      <w:pPr>
        <w:pStyle w:val="FirstParagraph"/>
      </w:pPr>
      <w:r>
        <w:rPr>
          <w:bCs/>
          <w:b/>
        </w:rPr>
        <w:t xml:space="preserve">Patient Name:</w:t>
      </w:r>
      <w:r>
        <w:t xml:space="preserve"> </w:t>
      </w:r>
      <w:r>
        <w:t xml:space="preserve">Barnaby (Golden Retriever)</w:t>
      </w:r>
      <w:r>
        <w:br/>
      </w:r>
      <w:r>
        <w:rPr>
          <w:bCs/>
          <w:b/>
        </w:rPr>
        <w:t xml:space="preserve">Patient ID:</w:t>
      </w:r>
      <w:r>
        <w:t xml:space="preserve"> </w:t>
      </w:r>
      <w:r>
        <w:t xml:space="preserve">CHI-2023-8941</w:t>
      </w:r>
      <w:r>
        <w:br/>
      </w:r>
      <w:r>
        <w:rPr>
          <w:bCs/>
          <w:b/>
        </w:rPr>
        <w:t xml:space="preserve">Date of Birth:</w:t>
      </w:r>
      <w:r>
        <w:t xml:space="preserve"> </w:t>
      </w:r>
      <w:r>
        <w:t xml:space="preserve">05/12/2018</w:t>
      </w:r>
      <w:r>
        <w:br/>
      </w:r>
      <w:r>
        <w:rPr>
          <w:bCs/>
          <w:b/>
        </w:rPr>
        <w:t xml:space="preserve">Owning Veterinarian</w:t>
      </w:r>
      <w:r>
        <w:t xml:space="preserve">: Dr. Sarah Jenkins, DVM</w:t>
      </w:r>
    </w:p>
    <w:p>
      <w:pPr>
        <w:pStyle w:val="BodyText"/>
      </w:pPr>
      <w:r>
        <w:rPr>
          <w:bCs/>
          <w:b/>
        </w:rPr>
        <w:t xml:space="preserve">Date of Examination:</w:t>
      </w:r>
      <w:r>
        <w:t xml:space="preserve"> </w:t>
      </w:r>
      <w:r>
        <w:t xml:space="preserve">October 24, 2023</w:t>
      </w:r>
      <w:r>
        <w:br/>
      </w:r>
      <w:r>
        <w:rPr>
          <w:bCs/>
          <w:b/>
        </w:rPr>
        <w:t xml:space="preserve">Referring Clinic:</w:t>
      </w:r>
      <w:r>
        <w:t xml:space="preserve"> </w:t>
      </w:r>
      <w:r>
        <w:t xml:space="preserve">Lakeview Animal Hospital</w:t>
      </w:r>
      <w:r>
        <w:br/>
      </w:r>
      <w:r>
        <w:rPr>
          <w:bCs/>
          <w:b/>
        </w:rPr>
        <w:t xml:space="preserve">Clinic Location:</w:t>
      </w:r>
      <w:r>
        <w:t xml:space="preserve"> </w:t>
      </w:r>
      <w:r>
        <w:t xml:space="preserve">United States Chicago, Illinois</w:t>
      </w:r>
      <w:r>
        <w:br/>
      </w:r>
      <w:r>
        <w:rPr>
          <w:bCs/>
          <w:b/>
        </w:rPr>
        <w:t xml:space="preserve">Laboratory ID:</w:t>
      </w:r>
      <w:r>
        <w:t xml:space="preserve"> </w:t>
      </w:r>
      <w:r>
        <w:t xml:space="preserve">LAB-US-CHI-9982</w:t>
      </w:r>
    </w:p>
    <w:bookmarkStart w:id="20" w:name="i.-executive-summary"/>
    <w:p>
      <w:pPr>
        <w:pStyle w:val="Heading2"/>
      </w:pPr>
      <w:r>
        <w:t xml:space="preserve">I. Executive Summary</w:t>
      </w:r>
    </w:p>
    <w:p>
      <w:pPr>
        <w:pStyle w:val="FirstParagraph"/>
      </w:pPr>
      <w:r>
        <w:t xml:space="preserve">This document serves as a comprehensive laboratory report detailing the diagnostic findings for Patient Barnaby. The referral originated from a primary care veterinarian in the United States Chicago area, specifically targeting specialized immunological and hematology testing unavailable at general practice facilities. The primary objective of this</w:t>
      </w:r>
      <w:r>
        <w:t xml:space="preserve"> </w:t>
      </w:r>
      <w:r>
        <w:rPr>
          <w:bCs/>
          <w:b/>
        </w:rPr>
        <w:t xml:space="preserve">Lab Report</w:t>
      </w:r>
      <w:r>
        <w:t xml:space="preserve"> </w:t>
      </w:r>
      <w:r>
        <w:t xml:space="preserve">was to identify the underlying cause of chronic dermatological issues and intermittent gastrointestinal distress observed over the past six months.</w:t>
      </w:r>
      <w:r>
        <w:t xml:space="preserve"> </w:t>
      </w:r>
      <w:r>
        <w:t xml:space="preserve">The analysis conducted herein represents standard protocols utilized by advanced diagnostic laboratories operating within the United States Chicago metropolitan region. These protocols adhere to strict quality assurance standards mandated by regional veterinary associations and federal guidelines, ensuring that every</w:t>
      </w:r>
      <w:r>
        <w:t xml:space="preserve"> </w:t>
      </w:r>
      <w:r>
        <w:rPr>
          <w:bCs/>
          <w:b/>
        </w:rPr>
        <w:t xml:space="preserve">Veterinarian</w:t>
      </w:r>
      <w:r>
        <w:t xml:space="preserve"> </w:t>
      </w:r>
      <w:r>
        <w:t xml:space="preserve">reviewing these findings receives data that is both statistically significant and clinically actionable.</w:t>
      </w:r>
    </w:p>
    <w:bookmarkEnd w:id="20"/>
    <w:bookmarkStart w:id="21" w:name="ii.-clinical-history-reason-for-referral"/>
    <w:p>
      <w:pPr>
        <w:pStyle w:val="Heading2"/>
      </w:pPr>
      <w:r>
        <w:t xml:space="preserve">II. Clinical History &amp; Reason for Referral</w:t>
      </w:r>
    </w:p>
    <w:p>
      <w:pPr>
        <w:pStyle w:val="FirstParagraph"/>
      </w:pPr>
      <w:r>
        <w:t xml:space="preserve">The patient is a 5-year-old male castrated Golden Retriever presenting with a history of non-seasonal pruritus, alopecia around the paws and tail base, and sporadic episodes of vomiting. The primary</w:t>
      </w:r>
      <w:r>
        <w:t xml:space="preserve"> </w:t>
      </w:r>
      <w:r>
        <w:rPr>
          <w:bCs/>
          <w:b/>
        </w:rPr>
        <w:t xml:space="preserve">Veterinarian</w:t>
      </w:r>
      <w:r>
        <w:t xml:space="preserve">, Dr. Jenkins, initiated an elimination diet trial for eight weeks without significant resolution of symptoms. Furthermore, broad-spectrum antibiotic therapy failed to alleviate secondary skin infections, suggesting a non-bacterial etiology or a resistant organism not covered by standard protocols available in the United States Chicago veterinary market.</w:t>
      </w:r>
      <w:r>
        <w:t xml:space="preserve"> </w:t>
      </w:r>
      <w:r>
        <w:t xml:space="preserve">The referral for this specialized</w:t>
      </w:r>
      <w:r>
        <w:t xml:space="preserve"> </w:t>
      </w:r>
      <w:r>
        <w:rPr>
          <w:bCs/>
          <w:b/>
        </w:rPr>
        <w:t xml:space="preserve">Lab Report</w:t>
      </w:r>
      <w:r>
        <w:t xml:space="preserve"> </w:t>
      </w:r>
      <w:r>
        <w:t xml:space="preserve">was made to rule out:</w:t>
      </w:r>
      <w:r>
        <w:t xml:space="preserve"> </w:t>
      </w:r>
      <w:r>
        <w:t xml:space="preserve">1. Atopic Dermatitis (Environmental Allergies).</w:t>
      </w:r>
      <w:r>
        <w:t xml:space="preserve"> </w:t>
      </w:r>
      <w:r>
        <w:t xml:space="preserve">2. Food Adverse Reaction (non-dietary components).</w:t>
      </w:r>
      <w:r>
        <w:t xml:space="preserve"> </w:t>
      </w:r>
      <w:r>
        <w:t xml:space="preserve">3. Systemic Autoimmune Disease (e.g., Systemic Lupus Erythematosus).</w:t>
      </w:r>
    </w:p>
    <w:bookmarkEnd w:id="21"/>
    <w:bookmarkStart w:id="22" w:name="iii.-methodology"/>
    <w:p>
      <w:pPr>
        <w:pStyle w:val="Heading2"/>
      </w:pPr>
      <w:r>
        <w:t xml:space="preserve">III. Methodology</w:t>
      </w:r>
    </w:p>
    <w:p>
      <w:pPr>
        <w:pStyle w:val="FirstParagraph"/>
      </w:pPr>
      <w:r>
        <w:t xml:space="preserve">To ensure the integrity of this</w:t>
      </w:r>
      <w:r>
        <w:t xml:space="preserve"> </w:t>
      </w:r>
      <w:r>
        <w:rPr>
          <w:bCs/>
          <w:b/>
        </w:rPr>
        <w:t xml:space="preserve">Lab Report</w:t>
      </w:r>
      <w:r>
        <w:t xml:space="preserve">, the following methodologies were employed:</w:t>
      </w:r>
      <w:r>
        <w:t xml:space="preserve"> </w:t>
      </w:r>
      <w:r>
        <w:t xml:space="preserve">A. Complete Blood Count (CBC): Utilizing automated hematology analyzers calibrated daily to ensure precision in cell counts and morphology assessment.</w:t>
      </w:r>
      <w:r>
        <w:br/>
      </w:r>
      <w:r>
        <w:t xml:space="preserve">B. Serum Biochemistry Profile: Evaluating hepatic, renal, and pancreatic function using enzymatic colorimetric assays.</w:t>
      </w:r>
      <w:r>
        <w:br/>
      </w:r>
      <w:r>
        <w:t xml:space="preserve">C. Total IgE Panel: Measuring immunoglobulin E levels specific to common environmental allergens prevalent in the United States Chicago area, including ragweed, pollen from local oak trees, and dust mites.</w:t>
      </w:r>
      <w:r>
        <w:br/>
      </w:r>
      <w:r>
        <w:t xml:space="preserve">D. Cytological Analysis: Ear and skin swabs examined via Gram stain to identify bacterial or yeast populations.</w:t>
      </w:r>
      <w:r>
        <w:br/>
      </w:r>
    </w:p>
    <w:bookmarkEnd w:id="22"/>
    <w:bookmarkStart w:id="23" w:name="iv.-laboratory-results"/>
    <w:p>
      <w:pPr>
        <w:pStyle w:val="Heading2"/>
      </w:pPr>
      <w:r>
        <w:t xml:space="preserve">IV. Laboratory Results</w:t>
      </w:r>
    </w:p>
    <w:p>
      <w:pPr>
        <w:pStyle w:val="FirstParagraph"/>
      </w:pPr>
      <w:r>
        <w:t xml:space="preserve">The following table summarizes the quantitative results obtained during this analysis phase of the</w:t>
      </w:r>
      <w:r>
        <w:t xml:space="preserve"> </w:t>
      </w:r>
      <w:r>
        <w:rPr>
          <w:bCs/>
          <w:b/>
        </w:rPr>
        <w:t xml:space="preserve">Lab Report</w:t>
      </w:r>
      <w:r>
        <w:t xml:space="preserve">. Reference ranges are specific to canine physiology and adjusted for age-related variances where applicable.</w:t>
      </w:r>
    </w:p>
    <w:p>
      <w:pPr>
        <w:pStyle w:val="BodyText"/>
      </w:pPr>
      <w:r>
        <w:t xml:space="preserve">Test Parameter</w:t>
      </w:r>
    </w:p>
    <w:p>
      <w:pPr>
        <w:pStyle w:val="BodyText"/>
      </w:pPr>
      <w:r>
        <w:t xml:space="preserve">Patient Result</w:t>
      </w:r>
    </w:p>
    <w:p>
      <w:pPr>
        <w:pStyle w:val="BodyText"/>
      </w:pPr>
      <w:r>
        <w:t xml:space="preserve">Reference Range</w:t>
      </w:r>
    </w:p>
    <w:p>
      <w:pPr>
        <w:pStyle w:val="BodyText"/>
      </w:pPr>
      <w:r>
        <w:t xml:space="preserve">Status Indicator (Lab Report)</w:t>
      </w:r>
    </w:p>
    <w:p>
      <w:pPr>
        <w:pStyle w:val="BodyText"/>
      </w:pPr>
      <w:r>
        <w:br/>
      </w:r>
    </w:p>
    <w:p>
      <w:pPr>
        <w:pStyle w:val="BodyText"/>
      </w:pPr>
      <w:r>
        <w:br/>
      </w:r>
    </w:p>
    <w:p>
      <w:pPr>
        <w:pStyle w:val="BodyText"/>
      </w:pPr>
      <w:r>
        <w:t xml:space="preserve">White Blood Cell Count (WBC)</w:t>
      </w:r>
      <w:r>
        <w:br/>
      </w:r>
      <w:r>
        <w:rPr>
          <w:bCs/>
          <w:b/>
        </w:rPr>
        <w:t xml:space="preserve">Veterinarian</w:t>
      </w:r>
      <w:r>
        <w:t xml:space="preserve">Note:</w:t>
      </w:r>
    </w:p>
    <w:p>
      <w:pPr>
        <w:pStyle w:val="BodyText"/>
      </w:pPr>
      <w:r>
        <w:t xml:space="preserve">/United States Chicago</w:t>
      </w:r>
      <w:r>
        <w:br/>
      </w:r>
    </w:p>
    <w:p>
      <w:pPr>
        <w:pStyle w:val="BodyText"/>
      </w:pPr>
      <w:r>
        <w:t xml:space="preserve">15,400 /uL</w:t>
      </w:r>
    </w:p>
    <w:p>
      <w:pPr>
        <w:pStyle w:val="BodyText"/>
      </w:pPr>
      <w:r>
        <w:br/>
      </w:r>
    </w:p>
    <w:p>
      <w:pPr>
        <w:pStyle w:val="BodyText"/>
      </w:pPr>
      <w:r>
        <w:br/>
      </w:r>
    </w:p>
    <w:p>
      <w:pPr>
        <w:pStyle w:val="BodyText"/>
      </w:pPr>
      <w:r>
        <w:t xml:space="preserve">Neutrophils (Segmented)/</w:t>
      </w:r>
      <w:r>
        <w:rPr>
          <w:bCs/>
          <w:b/>
        </w:rPr>
        <w:t xml:space="preserve">Veterinarian</w:t>
      </w:r>
      <w:r>
        <w:t xml:space="preserve">/United States Chicago/</w:t>
      </w:r>
    </w:p>
    <w:p>
      <w:pPr>
        <w:pStyle w:val="BodyText"/>
      </w:pPr>
      <w:r>
        <w:t xml:space="preserve">Lab Report</w:t>
      </w:r>
    </w:p>
    <w:p>
      <w:pPr>
        <w:pStyle w:val="BodyText"/>
      </w:pPr>
      <w:r>
        <w:t xml:space="preserve">12,000 /uL</w:t>
      </w:r>
      <w:r>
        <w:br/>
      </w:r>
      <w:r>
        <w:br/>
      </w:r>
    </w:p>
    <w:p>
      <w:pPr>
        <w:pStyle w:val="BodyText"/>
      </w:pPr>
      <w:r>
        <w:br/>
      </w:r>
    </w:p>
    <w:p>
      <w:pPr>
        <w:pStyle w:val="BodyText"/>
      </w:pPr>
      <w:r>
        <w:t xml:space="preserve">Eosinophils (Count)/</w:t>
      </w:r>
    </w:p>
    <w:p>
      <w:pPr>
        <w:pStyle w:val="BodyText"/>
      </w:pPr>
      <w:r>
        <w:t xml:space="preserve">Veterinarian/United States Chicago/</w:t>
      </w:r>
    </w:p>
    <w:p>
      <w:pPr>
        <w:pStyle w:val="BodyText"/>
      </w:pPr>
      <w:r>
        <w:t xml:space="preserve">Lab Report</w:t>
      </w:r>
    </w:p>
    <w:p>
      <w:pPr>
        <w:pStyle w:val="BodyText"/>
      </w:pPr>
      <w:r>
        <w:t xml:space="preserve">1,200 /uL</w:t>
      </w:r>
      <w:r>
        <w:br/>
      </w:r>
      <w:r>
        <w:br/>
      </w:r>
    </w:p>
    <w:p>
      <w:pPr>
        <w:pStyle w:val="BodyText"/>
      </w:pPr>
      <w:r>
        <w:br/>
      </w:r>
    </w:p>
    <w:p>
      <w:pPr>
        <w:pStyle w:val="BodyText"/>
      </w:pPr>
      <w:r>
        <w:t xml:space="preserve">Total IgE Levels/</w:t>
      </w:r>
    </w:p>
    <w:p>
      <w:pPr>
        <w:pStyle w:val="BodyText"/>
      </w:pPr>
      <w:r>
        <w:t xml:space="preserve">Veterinarian/United States Chicago/</w:t>
      </w:r>
    </w:p>
    <w:p>
      <w:pPr>
        <w:pStyle w:val="BodyText"/>
      </w:pPr>
      <w:r>
        <w:t xml:space="preserve">Lab Report</w:t>
      </w:r>
    </w:p>
    <w:p>
      <w:pPr>
        <w:pStyle w:val="BodyText"/>
      </w:pPr>
      <w:r>
        <w:t xml:space="preserve">450 IU/mL</w:t>
      </w:r>
      <w:r>
        <w:br/>
      </w:r>
      <w:r>
        <w:br/>
      </w:r>
    </w:p>
    <w:p>
      <w:pPr>
        <w:pStyle w:val="BodyText"/>
      </w:pPr>
      <w:r>
        <w:br/>
      </w:r>
    </w:p>
    <w:p>
      <w:pPr>
        <w:pStyle w:val="BodyText"/>
      </w:pPr>
      <w:r>
        <w:t xml:space="preserve">BUN (Blood Urea Nitrogen)</w:t>
      </w:r>
    </w:p>
    <w:p>
      <w:pPr>
        <w:pStyle w:val="BodyText"/>
      </w:pPr>
      <w:r>
        <w:t xml:space="preserve">/</w:t>
      </w:r>
    </w:p>
    <w:p>
      <w:pPr>
        <w:pStyle w:val="BodyText"/>
      </w:pPr>
      <w:r>
        <w:t xml:space="preserve">Veterinarian/United States Chicago/</w:t>
      </w:r>
    </w:p>
    <w:p>
      <w:pPr>
        <w:pStyle w:val="BodyText"/>
      </w:pPr>
      <w:r>
        <w:t xml:space="preserve">Lab Report</w:t>
      </w:r>
    </w:p>
    <w:p>
      <w:pPr>
        <w:pStyle w:val="BodyText"/>
      </w:pPr>
      <w:r>
        <w:t xml:space="preserve">25 mg/dL</w:t>
      </w:r>
      <w:r>
        <w:br/>
      </w:r>
      <w:r>
        <w:br/>
      </w:r>
    </w:p>
    <w:p>
      <w:pPr>
        <w:pStyle w:val="BodyText"/>
      </w:pPr>
      <w:r>
        <w:br/>
      </w:r>
    </w:p>
    <w:p>
      <w:pPr>
        <w:pStyle w:val="BodyText"/>
      </w:pPr>
      <w:r>
        <w:t xml:space="preserve">Creatinine (Serum)/</w:t>
      </w:r>
    </w:p>
    <w:p>
      <w:pPr>
        <w:pStyle w:val="BodyText"/>
      </w:pPr>
      <w:r>
        <w:t xml:space="preserve">Veterinarian/United States Chicago/</w:t>
      </w:r>
    </w:p>
    <w:p>
      <w:pPr>
        <w:pStyle w:val="BodyText"/>
      </w:pPr>
      <w:r>
        <w:t xml:space="preserve">Lab Report</w:t>
      </w:r>
    </w:p>
    <w:p>
      <w:pPr>
        <w:pStyle w:val="BodyText"/>
      </w:pPr>
      <w:r>
        <w:t xml:space="preserve">1.4 mg/dL</w:t>
      </w:r>
      <w:r>
        <w:br/>
      </w:r>
      <w:r>
        <w:br/>
      </w:r>
    </w:p>
    <w:bookmarkEnd w:id="23"/>
    <w:bookmarkStart w:id="24" w:name="v.-interpretation-discussion"/>
    <w:p>
      <w:pPr>
        <w:pStyle w:val="Heading2"/>
      </w:pPr>
      <w:r>
        <w:t xml:space="preserve">V. Interpretation &amp; Discussion</w:t>
      </w:r>
    </w:p>
    <w:p>
      <w:pPr>
        <w:pStyle w:val="FirstParagraph"/>
      </w:pPr>
      <w:r>
        <w:t xml:space="preserve">The results presented in this</w:t>
      </w:r>
      <w:r>
        <w:t xml:space="preserve"> </w:t>
      </w:r>
      <w:r>
        <w:rPr>
          <w:bCs/>
          <w:b/>
        </w:rPr>
        <w:t xml:space="preserve">Lab Report</w:t>
      </w:r>
      <w:r>
        <w:t xml:space="preserve"> </w:t>
      </w:r>
      <w:r>
        <w:t xml:space="preserve">indicate a significant leukocytosis driven primarily by an increase in neutrophils and eosinophils. For the consulting</w:t>
      </w:r>
      <w:r>
        <w:t xml:space="preserve"> </w:t>
      </w:r>
      <w:r>
        <w:rPr>
          <w:bCs/>
          <w:b/>
        </w:rPr>
        <w:t xml:space="preserve">Veterinarian</w:t>
      </w:r>
      <w:r>
        <w:t xml:space="preserve">, these findings are highly indicative of an inflammatory or allergic response rather than a simple bacterial infection, as one would typically expect lymphocytosis or monocytosis if a chronic infectious process were the primary driver.</w:t>
      </w:r>
      <w:r>
        <w:t xml:space="preserve"> </w:t>
      </w:r>
      <w:r>
        <w:t xml:space="preserve">The elevated total IgE levels (450 IU/mL), which exceed the normal upper limit of 100 IU/mL for most canines, strongly suggest an atopic component to the patient's condition. In the context of</w:t>
      </w:r>
      <w:r>
        <w:t xml:space="preserve"> </w:t>
      </w:r>
      <w:r>
        <w:rPr>
          <w:bCs/>
          <w:b/>
        </w:rPr>
        <w:t xml:space="preserve">United States Chicago</w:t>
      </w:r>
      <w:r>
        <w:t xml:space="preserve">, where seasonal pollen counts and urban allergens such as mold spores and dust mites are particularly high due to humidity levels near Lake Michigan, this finding aligns with a diagnosis of Atopic Dermatitis triggered by environmental factors common in our specific geographic region.</w:t>
      </w:r>
      <w:r>
        <w:t xml:space="preserve"> </w:t>
      </w:r>
      <w:r>
        <w:t xml:space="preserve">Furthermore, the mildly elevated BUN (25 mg/dL) warrants monitoring but does not necessarily indicate renal failure given the normal creatinine levels. It may be secondary to dehydration or mild dietary protein intolerance, which often accompanies allergic skin disease in dogs residing in metropolitan areas like</w:t>
      </w:r>
      <w:r>
        <w:t xml:space="preserve"> </w:t>
      </w:r>
      <w:r>
        <w:rPr>
          <w:bCs/>
          <w:b/>
        </w:rPr>
        <w:t xml:space="preserve">United States Chicago</w:t>
      </w:r>
      <w:r>
        <w:t xml:space="preserve">. The primary</w:t>
      </w:r>
      <w:r>
        <w:t xml:space="preserve"> </w:t>
      </w:r>
      <w:r>
        <w:rPr>
          <w:bCs/>
          <w:b/>
        </w:rPr>
        <w:t xml:space="preserve">Veterinarian</w:t>
      </w:r>
      <w:r>
        <w:t xml:space="preserve"> </w:t>
      </w:r>
      <w:r>
        <w:t xml:space="preserve">should consider this data when prescribing subsequent therapies.</w:t>
      </w:r>
    </w:p>
    <w:bookmarkEnd w:id="24"/>
    <w:bookmarkStart w:id="25" w:name="Xddcab217945c74faea7722baaa615e63de1e066"/>
    <w:p>
      <w:pPr>
        <w:pStyle w:val="Heading2"/>
      </w:pPr>
      <w:r>
        <w:t xml:space="preserve">VI. Recommendations for Clinical Management</w:t>
      </w:r>
    </w:p>
    <w:p>
      <w:pPr>
        <w:pStyle w:val="FirstParagraph"/>
      </w:pPr>
      <w:r>
        <w:t xml:space="preserve">Based on the findings documented in this</w:t>
      </w:r>
      <w:r>
        <w:t xml:space="preserve"> </w:t>
      </w:r>
      <w:r>
        <w:rPr>
          <w:bCs/>
          <w:b/>
        </w:rPr>
        <w:t xml:space="preserve">Lab Report</w:t>
      </w:r>
      <w:r>
        <w:t xml:space="preserve">, the following recommendations are provided to the attending</w:t>
      </w:r>
      <w:r>
        <w:t xml:space="preserve"> </w:t>
      </w:r>
      <w:hyperlink w:anchor="Xa39a3ee5e6b4b0d3255bfef95601890afd80709">
        <w:r>
          <w:rPr>
            <w:rStyle w:val="Hyperlink"/>
            <w:bCs/>
            <w:b/>
          </w:rPr>
          <w:t xml:space="preserve">Veterinarian:</w:t>
        </w:r>
        <w:r>
          <w:rPr>
            <w:rStyle w:val="Hyperlink"/>
            <w:bCs/>
            <w:b/>
          </w:rPr>
          <w:t xml:space="preserve"> </w:t>
        </w:r>
        <w:r>
          <w:rPr>
            <w:rStyle w:val="Hyperlink"/>
            <w:bCs/>
            <w:b/>
          </w:rPr>
          <w:t xml:space="preserve">1. Allergy Testing: Consider intradermal skin testing or serum allergy testing specific to local allergens found in</w:t>
        </w:r>
        <w:r>
          <w:rPr>
            <w:rStyle w:val="Hyperlink"/>
            <w:bCs/>
            <w:b/>
          </w:rPr>
          <w:t xml:space="preserve"> </w:t>
        </w:r>
        <w:hyperlink w:anchor="Xa39a3ee5e6b4b0d3255bfef95601890afd80709">
          <w:r>
            <w:rPr>
              <w:rStyle w:val="Hyperlink"/>
              <w:bCs/>
              <w:b/>
            </w:rPr>
            <w:t xml:space="preserve">United States Chicago</w:t>
          </w:r>
        </w:hyperlink>
        <w:r>
          <w:rPr>
            <w:rStyle w:val="Hyperlink"/>
            <w:bCs/>
            <w:b/>
          </w:rPr>
          <w:t xml:space="preserve">.</w:t>
        </w:r>
        <w:r>
          <w:rPr>
            <w:rStyle w:val="Hyperlink"/>
            <w:bCs/>
            <w:b/>
          </w:rPr>
          <w:t xml:space="preserve"> </w:t>
        </w:r>
        <w:r>
          <w:rPr>
            <w:rStyle w:val="Hyperlink"/>
            <w:bCs/>
            <w:b/>
          </w:rPr>
          <w:t xml:space="preserve">2. Symptomatic Relief: Initiate immunosuppressive therapy (e.g., cyclosporine or oclacitinib) to manage pruritus while awaiting long-term desensitization results.</w:t>
        </w:r>
        <w:r>
          <w:rPr>
            <w:rStyle w:val="Hyperlink"/>
            <w:bCs/>
            <w:b/>
          </w:rPr>
          <w:t xml:space="preserve"> </w:t>
        </w:r>
        <w:r>
          <w:rPr>
            <w:rStyle w:val="Hyperlink"/>
            <w:bCs/>
            <w:b/>
          </w:rPr>
          <w:t xml:space="preserve">3. Dietary Review: Re-evaluate the elimination diet components; ensure no cross-contamination from treats or human food occurred during the trial phase, as this is a common pitfall noted by</w:t>
        </w:r>
        <w:r>
          <w:rPr>
            <w:rStyle w:val="Hyperlink"/>
            <w:bCs/>
            <w:b/>
          </w:rPr>
          <w:t xml:space="preserve"> </w:t>
        </w:r>
        <w:hyperlink w:anchor="Xa39a3ee5e6b4b0d3255bfef95601890afd80709">
          <w:r>
            <w:rPr>
              <w:rStyle w:val="Hyperlink"/>
              <w:bCs/>
              <w:b/>
            </w:rPr>
            <w:t xml:space="preserve">Veterinarian</w:t>
          </w:r>
        </w:hyperlink>
        <w:r>
          <w:rPr>
            <w:rStyle w:val="Hyperlink"/>
            <w:bCs/>
            <w:b/>
          </w:rPr>
          <w:t xml:space="preserve"> </w:t>
        </w:r>
        <w:r>
          <w:rPr>
            <w:rStyle w:val="Hyperlink"/>
            <w:bCs/>
            <w:b/>
          </w:rPr>
          <w:t xml:space="preserve">practitioners in urban settings where access to varied pet foods is high.</w:t>
        </w:r>
        <w:r>
          <w:rPr>
            <w:rStyle w:val="Hyperlink"/>
            <w:bCs/>
            <w:b/>
          </w:rPr>
          <w:t xml:space="preserve"> </w:t>
        </w:r>
        <w:r>
          <w:rPr>
            <w:rStyle w:val="Hyperlink"/>
            <w:bCs/>
            <w:b/>
          </w:rPr>
          <w:t xml:space="preserve">4. Follow-up: Repeat CBC and Biochemistry Profile in three months to monitor eosinophil counts and renal parameters.</w:t>
        </w:r>
      </w:hyperlink>
    </w:p>
    <w:bookmarkEnd w:id="25"/>
    <w:bookmarkStart w:id="26" w:name="vii.-conclusion"/>
    <w:p>
      <w:pPr>
        <w:pStyle w:val="Heading2"/>
      </w:pPr>
      <w:r>
        <w:t xml:space="preserve">VII. Conclusion</w:t>
      </w:r>
    </w:p>
    <w:p>
      <w:pPr>
        <w:pStyle w:val="FirstParagraph"/>
      </w:pPr>
      <w:r>
        <w:t xml:space="preserve">This comprehensive</w:t>
      </w:r>
      <w:r>
        <w:t xml:space="preserve"> </w:t>
      </w:r>
      <w:r>
        <w:rPr>
          <w:bCs/>
          <w:b/>
        </w:rPr>
        <w:t xml:space="preserve">Lab Report</w:t>
      </w:r>
      <w:r>
        <w:t xml:space="preserve"> </w:t>
      </w:r>
      <w:r>
        <w:t xml:space="preserve">concludes that the patient's symptoms are most likely driven by an environmental allergic response (Atopic Dermatitis) compounded by secondary bacterial dermatitis, prevalent in the urban environment of</w:t>
      </w:r>
      <w:r>
        <w:t xml:space="preserve"> </w:t>
      </w:r>
      <w:hyperlink w:anchor="Xa39a3ee5e6b4b0d3255bfef95601890afd80709">
        <w:r>
          <w:rPr>
            <w:rStyle w:val="Hyperlink"/>
          </w:rPr>
          <w:t xml:space="preserve">United States Chicago</w:t>
        </w:r>
      </w:hyperlink>
      <w:r>
        <w:t xml:space="preserve">. The laboratory data supports a shift from empirical antibiotic treatment toward targeted immunomodulatory therapy. It is imperative that the primary</w:t>
      </w:r>
      <w:r>
        <w:t xml:space="preserve"> </w:t>
      </w:r>
      <w:r>
        <w:rPr>
          <w:bCs/>
          <w:b/>
        </w:rPr>
        <w:t xml:space="preserve">Veterinarian</w:t>
      </w:r>
      <w:r>
        <w:t xml:space="preserve"> </w:t>
      </w:r>
      <w:r>
        <w:t xml:space="preserve">integrates these findings into a holistic care plan that addresses both immediate symptom relief and long-term allergen avoidance strategies tailored to the specific ecological factors of the</w:t>
      </w:r>
      <w:r>
        <w:t xml:space="preserve"> </w:t>
      </w:r>
      <w:hyperlink w:anchor="Xa39a3ee5e6b4b0d3255bfef95601890afd80709">
        <w:r>
          <w:rPr>
            <w:rStyle w:val="Hyperlink"/>
          </w:rPr>
          <w:t xml:space="preserve">United States Chicago</w:t>
        </w:r>
      </w:hyperlink>
      <w:r>
        <w:t xml:space="preserve"> </w:t>
      </w:r>
      <w:r>
        <w:t xml:space="preserve">region.</w:t>
      </w:r>
    </w:p>
    <w:p>
      <w:pPr>
        <w:pStyle w:val="BodyText"/>
      </w:pPr>
      <w:r>
        <w:rPr>
          <w:iCs/>
          <w:i/>
        </w:rPr>
        <w:t xml:space="preserve">This document is a certified Laboratory Report generated for veterinary medical use. Distribution to non-veterinary personnel is prohibited under HIPAA and AVMA guidelines applicable in the United States Chicago jurisdiction.</w:t>
      </w:r>
    </w:p>
    <w:p>
      <w:pPr>
        <w:pStyle w:val="BodyText"/>
      </w:pPr>
      <w:r>
        <w:rPr>
          <w:bCs/>
          <w:b/>
        </w:rPr>
        <w:t xml:space="preserve">Authorized Signature:</w:t>
      </w:r>
      <w:r>
        <w:t xml:space="preserve"> </w:t>
      </w:r>
      <w:r>
        <w:t xml:space="preserve">Dr. Alan Grant, DVM, PhD (Clinical Pathology) | Director of Diagnostics</w:t>
      </w:r>
    </w:p>
    <w:p>
      <w:pPr>
        <w:pStyle w:val="BodyText"/>
      </w:pPr>
      <w:r>
        <w:rPr>
          <w:iCs/>
          <w:i/>
        </w:rPr>
        <w:t xml:space="preserve">Generated on: 2023-10-25 | Location: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Clinical Lab Report: Comprehensive Diagnostic Analysis</dc:title>
  <dc:creator/>
  <dc:language>en</dc:language>
  <cp:keywords/>
  <dcterms:created xsi:type="dcterms:W3CDTF">2026-07-29T15:38:04Z</dcterms:created>
  <dcterms:modified xsi:type="dcterms:W3CDTF">2026-07-29T15:38:04Z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