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c8b17e733e7a3205e690424cc17e1322beab29"/>
    <w:p>
      <w:pPr>
        <w:pStyle w:val="Heading1"/>
      </w:pPr>
      <w:r>
        <w:t xml:space="preserve">Laboratory Report: Veterinary Diagnostic Analysis and Clinical Observation</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VET-HOU-8923-X</w:t>
      </w:r>
      <w:r>
        <w:br/>
      </w:r>
      <w:r>
        <w:rPr>
          <w:bCs/>
          <w:b/>
        </w:rPr>
        <w:t xml:space="preserve">Institution:</w:t>
      </w:r>
      <w:r>
        <w:t xml:space="preserve"> </w:t>
      </w:r>
      <w:r>
        <w:t xml:space="preserve">Houston Metropolitan Veterinary Research Center,</w:t>
      </w:r>
      <w:r>
        <w:t xml:space="preserve"> </w:t>
      </w:r>
      <w:r>
        <w:rPr>
          <w:iCs/>
          <w:i/>
        </w:rPr>
        <w:t xml:space="preserve">(United States Houston)</w:t>
      </w:r>
      <w:r>
        <w:br/>
      </w:r>
      <w:r>
        <w:rPr>
          <w:bCs/>
          <w:b/>
        </w:rPr>
        <w:t xml:space="preserve">Attending Veterinarian:</w:t>
      </w:r>
      <w:r>
        <w:t xml:space="preserve"> </w:t>
      </w:r>
      <w:r>
        <w:t xml:space="preserve">Dr. Sarah Jenkins, DVM, DACVIM</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documentation of the diagnostic procedures, clinical findings, and pathological analyses conducted at our facility located in</w:t>
      </w:r>
      <w:r>
        <w:t xml:space="preserve"> </w:t>
      </w:r>
      <w:r>
        <w:rPr>
          <w:iCs/>
          <w:i/>
        </w:rPr>
        <w:t xml:space="preserve">(United States Houston)</w:t>
      </w:r>
      <w:r>
        <w:t xml:space="preserve">. The primary objective of this report is to detail the veterinary care provided to a specific canine patient presenting with acute gastrointestinal distress. As leading experts in veterinary medicine within</w:t>
      </w:r>
      <w:r>
        <w:t xml:space="preserve"> </w:t>
      </w:r>
      <w:r>
        <w:rPr>
          <w:iCs/>
          <w:i/>
        </w:rPr>
        <w:t xml:space="preserve">(United States Houston)</w:t>
      </w:r>
      <w:r>
        <w:t xml:space="preserve">, our team emphasizes rigorous adherence to diagnostic protocols, ensuring that every aspect of the veterinarian's role is executed with precision and compassion. This document highlights the critical intersection between clinical observation, laboratory analysis, and therapeutic intervention.</w:t>
      </w:r>
    </w:p>
    <w:bookmarkEnd w:id="20"/>
    <w:bookmarkStart w:id="21" w:name="patient-information"/>
    <w:p>
      <w:pPr>
        <w:pStyle w:val="Heading2"/>
      </w:pPr>
      <w:r>
        <w:t xml:space="preserve">2. Patient Information</w:t>
      </w:r>
    </w:p>
    <w:p>
      <w:pPr>
        <w:pStyle w:val="FirstParagraph"/>
      </w:pPr>
      <w:r>
        <w:t xml:space="preserve">The patient in question is a four-year-old male neutered Golden Retriever named "Barnaby." He resides within the metropolitan area of</w:t>
      </w:r>
      <w:r>
        <w:t xml:space="preserve"> </w:t>
      </w:r>
      <w:r>
        <w:rPr>
          <w:iCs/>
          <w:i/>
        </w:rPr>
        <w:t xml:space="preserve">(United States Houston)</w:t>
      </w:r>
      <w:r>
        <w:t xml:space="preserve">, an environment that presents unique environmental challenges, including high humidity and seasonal allergens, which can significantly impact veterinary health outcomes. The owner reports a sudden onset of vomiting, lethargy, and loss of appetite over the past 48 hours. Given the prevalence of similar cases in</w:t>
      </w:r>
      <w:r>
        <w:t xml:space="preserve"> </w:t>
      </w:r>
      <w:r>
        <w:rPr>
          <w:iCs/>
          <w:i/>
        </w:rPr>
        <w:t xml:space="preserve">(United States Houston)</w:t>
      </w:r>
      <w:r>
        <w:t xml:space="preserve">, differential diagnoses included dietary indiscretion, foreign body obstruction, parvovirus infection, and tick-borne diseases common to the region.</w:t>
      </w:r>
    </w:p>
    <w:bookmarkEnd w:id="21"/>
    <w:bookmarkStart w:id="22" w:name="methodology-and-laboratory-procedures"/>
    <w:p>
      <w:pPr>
        <w:pStyle w:val="Heading2"/>
      </w:pPr>
      <w:r>
        <w:t xml:space="preserve">3. Methodology and Laboratory Procedures</w:t>
      </w:r>
    </w:p>
    <w:p>
      <w:pPr>
        <w:pStyle w:val="FirstParagraph"/>
      </w:pPr>
      <w:r>
        <w:t xml:space="preserve">The following standard operating procedures were utilized by the veterinarian team:</w:t>
      </w:r>
    </w:p>
    <w:p>
      <w:pPr>
        <w:numPr>
          <w:ilvl w:val="0"/>
          <w:numId w:val="1001"/>
        </w:numPr>
        <w:pStyle w:val="Compact"/>
      </w:pPr>
      <w:r>
        <w:rPr>
          <w:bCs/>
          <w:b/>
        </w:rPr>
        <w:t xml:space="preserve">Clinical Physical Examination:</w:t>
      </w:r>
      <w:r>
        <w:t xml:space="preserve">A thorough physical assessment was conducted, including auscultation of heart and lung sounds, palpation of the abdominal cavity for pain or masses, and evaluation of mucous membrane color and capillary refill time.</w:t>
      </w:r>
    </w:p>
    <w:p>
      <w:pPr>
        <w:numPr>
          <w:ilvl w:val="0"/>
          <w:numId w:val="1001"/>
        </w:numPr>
        <w:pStyle w:val="Compact"/>
      </w:pPr>
      <w:r>
        <w:rPr>
          <w:bCs/>
          <w:b/>
        </w:rPr>
        <w:t xml:space="preserve">Blood Work (CBC and Chemistry Panel):</w:t>
      </w:r>
      <w:r>
        <w:t xml:space="preserve">A complete blood count was performed to assess white blood cell levels for signs of infection or inflammation. The chemistry panel evaluated kidney function (BUN, Creatinine), liver enzymes (ALT, ALP), electrolytes, and glucose levels.</w:t>
      </w:r>
    </w:p>
    <w:p>
      <w:pPr>
        <w:numPr>
          <w:ilvl w:val="0"/>
          <w:numId w:val="1001"/>
        </w:numPr>
        <w:pStyle w:val="Compact"/>
      </w:pPr>
      <w:r>
        <w:rPr>
          <w:bCs/>
          <w:b/>
        </w:rPr>
        <w:t xml:space="preserve">Fecal Analysis:</w:t>
      </w:r>
      <w:r>
        <w:t xml:space="preserve">An ova and parasite exam was conducted to rule out parasitic infections.</w:t>
      </w:r>
    </w:p>
    <w:p>
      <w:pPr>
        <w:numPr>
          <w:ilvl w:val="0"/>
          <w:numId w:val="1001"/>
        </w:numPr>
        <w:pStyle w:val="Compact"/>
      </w:pPr>
      <w:r>
        <w:rPr>
          <w:bCs/>
          <w:b/>
        </w:rPr>
        <w:t xml:space="preserve">Rapid Parvovirus Test:</w:t>
      </w:r>
      <w:r>
        <w:t xml:space="preserve">A SNAP test was administered to detect canine parvovirus antigens, a critical step given the severity of the symptoms.</w:t>
      </w:r>
    </w:p>
    <w:p>
      <w:pPr>
        <w:numPr>
          <w:ilvl w:val="0"/>
          <w:numId w:val="1001"/>
        </w:numPr>
        <w:pStyle w:val="Compact"/>
      </w:pPr>
      <w:r>
        <w:rPr>
          <w:bCs/>
          <w:b/>
        </w:rPr>
        <w:t xml:space="preserve">Abdominal Radiography (X-Ray):</w:t>
      </w:r>
      <w:r>
        <w:t xml:space="preserve">Digital radiographs were taken in two views to check for obstructions, gas patterns, or organ enlargement.</w:t>
      </w:r>
    </w:p>
    <w:bookmarkEnd w:id="22"/>
    <w:bookmarkStart w:id="25" w:name="results-and-observations"/>
    <w:p>
      <w:pPr>
        <w:pStyle w:val="Heading2"/>
      </w:pPr>
      <w:r>
        <w:t xml:space="preserve">4. Results and Observations</w:t>
      </w:r>
    </w:p>
    <w:bookmarkStart w:id="23" w:name="clinical-findings"/>
    <w:p>
      <w:pPr>
        <w:pStyle w:val="Heading3"/>
      </w:pPr>
      <w:r>
        <w:t xml:space="preserve">Clinical Findings</w:t>
      </w:r>
    </w:p>
    <w:p>
      <w:pPr>
        <w:pStyle w:val="FirstParagraph"/>
      </w:pPr>
      <w:r>
        <w:t xml:space="preserve">The veterinarian noted that Barnaby was dehydrated (estimated at 5-6%), with tacky mucous membranes. Abdominal palpation elicited mild discomfort in the cranial abdomen, but no distinct foreign bodies were felt. Heart rate was elevated at 140 bpm (tachycardia), likely secondary to pain and dehydration.</w:t>
      </w:r>
    </w:p>
    <w:bookmarkEnd w:id="23"/>
    <w:bookmarkStart w:id="24" w:name="laboratory-data"/>
    <w:p>
      <w:pPr>
        <w:pStyle w:val="Heading3"/>
      </w:pPr>
      <w:r>
        <w:t xml:space="preserve">Laboratory Data</w:t>
      </w:r>
    </w:p>
    <w:p>
      <w:pPr>
        <w:pStyle w:val="FirstParagraph"/>
      </w:pPr>
      <w:r>
        <w:rPr>
          <w:bCs/>
          <w:b/>
        </w:rPr>
        <w:t xml:space="preserve">Test Parameter</w:t>
      </w:r>
    </w:p>
    <w:p>
      <w:pPr>
        <w:pStyle w:val="BodyText"/>
      </w:pPr>
      <w:r>
        <w:rPr>
          <w:bCs/>
          <w:b/>
        </w:rPr>
        <w:t xml:space="preserve">Result</w:t>
      </w:r>
    </w:p>
    <w:p>
      <w:pPr>
        <w:pStyle w:val="BodyText"/>
      </w:pPr>
      <w:r>
        <w:rPr>
          <w:bCs/>
          <w:b/>
        </w:rPr>
        <w:t xml:space="preserve">Reference Range</w:t>
      </w:r>
    </w:p>
    <w:p>
      <w:pPr>
        <w:pStyle w:val="BodyText"/>
      </w:pPr>
      <w:r>
        <w:t xml:space="preserve">Status</w:t>
      </w:r>
    </w:p>
    <w:p>
      <w:pPr>
        <w:pStyle w:val="BodyText"/>
      </w:pPr>
      <w:r>
        <w:t xml:space="preserve">Complete Blood Count (CBC)</w:t>
      </w:r>
    </w:p>
    <w:p>
      <w:pPr>
        <w:pStyle w:val="BodyText"/>
      </w:pPr>
      <w:r>
        <w:t xml:space="preserve">""White Blood Cells (WBC)"&lt;"35.2 x10^3/uL"</w:t>
      </w:r>
    </w:p>
    <w:p>
      <w:pPr>
        <w:pStyle w:val="BodyText"/>
      </w:pPr>
      <w:r>
        <w:t xml:space="preserve">6.0 - 17.0 x10^3/uL</w:t>
      </w:r>
    </w:p>
    <w:p>
      <w:pPr>
        <w:pStyle w:val="BodyText"/>
      </w:pPr>
      <w:r>
        <w:rPr>
          <w:bCs/>
          <w:b/>
        </w:rPr>
        <w:t xml:space="preserve">Elevated</w:t>
      </w:r>
    </w:p>
    <w:p>
      <w:pPr>
        <w:pStyle w:val="BodyText"/>
      </w:pPr>
      <w:r>
        <w:t xml:space="preserve">Lymphocytes</w:t>
      </w:r>
    </w:p>
    <w:p>
      <w:pPr>
        <w:pStyle w:val="BodyText"/>
      </w:pPr>
      <w:r>
        <w:t xml:space="preserve">5.8 x10^3/uL</w:t>
      </w:r>
    </w:p>
    <w:p>
      <w:pPr>
        <w:pStyle w:val="BodyText"/>
      </w:pPr>
      <w:r>
        <w:t xml:space="preserve">1.0 - 4.8 x10^3/uL</w:t>
      </w:r>
    </w:p>
    <w:p>
      <w:pPr>
        <w:pStyle w:val="BodyText"/>
      </w:pPr>
      <w:r>
        <w:rPr>
          <w:bCs/>
          <w:b/>
        </w:rPr>
        <w:t xml:space="preserve">Elevated</w:t>
      </w:r>
    </w:p>
    <w:p>
      <w:pPr>
        <w:pStyle w:val="BodyText"/>
      </w:pPr>
      <w:r>
        <w:t xml:space="preserve">"Neutrophils"</w:t>
      </w:r>
    </w:p>
    <w:p>
      <w:pPr>
        <w:pStyle w:val="BodyText"/>
      </w:pPr>
      <w:r>
        <w:t xml:space="preserve">"26.5 x10^3/uL"</w:t>
      </w:r>
    </w:p>
    <w:p>
      <w:pPr>
        <w:pStyle w:val="BodyText"/>
      </w:pPr>
      <w:r>
        <w:t xml:space="preserve">3.0 - 11.5 x10^3/UL</w:t>
      </w:r>
    </w:p>
    <w:p>
      <w:pPr>
        <w:pStyle w:val="BodyText"/>
      </w:pPr>
      <w:r>
        <w:rPr>
          <w:bCs/>
          <w:b/>
        </w:rPr>
        <w:t xml:space="preserve">SEVERELY ELEVATED</w:t>
      </w:r>
    </w:p>
    <w:p>
      <w:pPr>
        <w:pStyle w:val="BodyText"/>
      </w:pPr>
      <w:r>
        <w:t xml:space="preserve">Chemistry Panel</w:t>
      </w:r>
    </w:p>
    <w:p>
      <w:pPr>
        <w:pStyle w:val="BodyText"/>
      </w:pPr>
      <w:r>
        <w:t xml:space="preserve">""BUN"</w:t>
      </w:r>
    </w:p>
    <w:p>
      <w:pPr>
        <w:pStyle w:val="BodyText"/>
      </w:pPr>
      <w:r>
        <w:t xml:space="preserve">"38 mg/dL"</w:t>
      </w:r>
    </w:p>
    <w:p>
      <w:pPr>
        <w:pStyle w:val="BodyText"/>
      </w:pPr>
      <w:r>
        <w:t xml:space="preserve">7 - 25 MG/DL</w:t>
      </w:r>
    </w:p>
    <w:p>
      <w:pPr>
        <w:pStyle w:val="BodyText"/>
      </w:pPr>
      <w:r>
        <w:rPr>
          <w:bCs/>
          <w:b/>
        </w:rPr>
        <w:t xml:space="preserve">ELEVATED</w:t>
      </w:r>
    </w:p>
    <w:p>
      <w:pPr>
        <w:pStyle w:val="BodyText"/>
      </w:pPr>
      <w:r>
        <w:t xml:space="preserve">Creatinine</w:t>
      </w:r>
    </w:p>
    <w:p>
      <w:pPr>
        <w:pStyle w:val="BodyText"/>
      </w:pPr>
      <w:r>
        <w:t xml:space="preserve">1.4 mg/dL</w:t>
      </w:r>
    </w:p>
    <w:p>
      <w:pPr>
        <w:pStyle w:val="BodyText"/>
      </w:pPr>
      <w:r>
        <w:t xml:space="preserve">0.5 - 1.5 mg/dL</w:t>
      </w:r>
    </w:p>
    <w:p>
      <w:pPr>
        <w:pStyle w:val="BodyText"/>
      </w:pPr>
      <w:r>
        <w:t xml:space="preserve">Status="Normal"</w:t>
      </w:r>
    </w:p>
    <w:p>
      <w:pPr>
        <w:pStyle w:val="BodyText"/>
      </w:pPr>
      <w:r>
        <w:t xml:space="preserve">""Glucose"</w:t>
      </w:r>
    </w:p>
    <w:p>
      <w:pPr>
        <w:pStyle w:val="BodyText"/>
      </w:pPr>
      <w:r>
        <w:t xml:space="preserve">"280 MG/Dl"</w:t>
      </w:r>
    </w:p>
    <w:p>
      <w:pPr>
        <w:pStyle w:val="BodyText"/>
      </w:pPr>
      <w:r>
        <w:t xml:space="preserve">Elevated</w:t>
      </w:r>
    </w:p>
    <w:p>
      <w:pPr>
        <w:pStyle w:val="BodyText"/>
      </w:pPr>
      <w:r>
        <w:t xml:space="preserve">Infectious Disease Screening</w:t>
      </w:r>
    </w:p>
    <w:p>
      <w:pPr>
        <w:pStyle w:val="BodyText"/>
      </w:pPr>
      <w:r>
        <w:t xml:space="preserve">"SNAP Parvovirus Test"</w:t>
      </w:r>
    </w:p>
    <w:p>
      <w:pPr>
        <w:pStyle w:val="BodyText"/>
      </w:pPr>
      <w:r>
        <w:t xml:space="preserve">"Negative"</w:t>
      </w:r>
    </w:p>
    <w:p>
      <w:pPr>
        <w:pStyle w:val="BodyText"/>
      </w:pPr>
      <w:r>
        <w:t xml:space="preserve">N/A</w:t>
      </w:r>
    </w:p>
    <w:p>
      <w:pPr>
        <w:pStyle w:val="BodyText"/>
      </w:pPr>
      <w:r>
        <w:t xml:space="preserve">Radiography Findings</w:t>
      </w:r>
    </w:p>
    <w:p>
      <w:pPr>
        <w:pStyle w:val="BodyText"/>
      </w:pPr>
      <w:r>
        <w:t xml:space="preserve">"Abdominal X-Ray"</w:t>
      </w:r>
    </w:p>
    <w:p>
      <w:pPr>
        <w:pStyle w:val="BodyText"/>
      </w:pPr>
      <w:r>
        <w:t xml:space="preserve">No Radiopaque Foreign Body"</w:t>
      </w:r>
    </w:p>
    <w:p>
      <w:pPr>
        <w:pStyle w:val="BodyText"/>
      </w:pPr>
      <w:r>
        <w:t xml:space="preserve">N/A</w:t>
      </w:r>
    </w:p>
    <w:p>
      <w:pPr>
        <w:pStyle w:val="BodyText"/>
      </w:pPr>
      <w:r>
        <w:t xml:space="preserve">Normal Anatomy, Mild Gas Distension</w:t>
      </w:r>
    </w:p>
    <w:bookmarkEnd w:id="24"/>
    <w:bookmarkEnd w:id="25"/>
    <w:bookmarkStart w:id="26" w:name="discussion-and-diagnosis"/>
    <w:p>
      <w:pPr>
        <w:pStyle w:val="Heading2"/>
      </w:pPr>
      <w:r>
        <w:t xml:space="preserve">5. Discussion and Diagnosis</w:t>
      </w:r>
    </w:p>
    <w:p>
      <w:pPr>
        <w:pStyle w:val="FirstParagraph"/>
      </w:pPr>
      <w:r>
        <w:t xml:space="preserve">The results indicate a significant inflammatory response within the canine patient. The markedly elevated white blood cell count, particularly the neutrophilia, strongly suggests an acute bacterial infection or severe inflammation. While infectious diseases such as parvovirus were ruled out via rapid testing, other etiologies must be considered. In</w:t>
      </w:r>
      <w:r>
        <w:t xml:space="preserve"> </w:t>
      </w:r>
      <w:r>
        <w:rPr>
          <w:iCs/>
          <w:i/>
        </w:rPr>
        <w:t xml:space="preserve">(United States Houston)</w:t>
      </w:r>
      <w:r>
        <w:t xml:space="preserve">, tick-borne illnesses like Ehrlichiosis or Rocky Mountain Spotted Fever are prevalent and can cause similar systemic signs, though the specific white blood cell profile here is more indicative of gastrointestinal origin.</w:t>
      </w:r>
    </w:p>
    <w:p>
      <w:pPr>
        <w:pStyle w:val="BodyText"/>
      </w:pPr>
      <w:r>
        <w:t xml:space="preserve">The elevated BUN and glucose levels further support a diagnosis of acute stress response compounded by potential dehydration-induced prerenal azotemia. The absence of a radiopaque foreign body on X-ray does not entirely rule out obstruction, as some materials are radiolucent (e.g., plastic, fabric). However, the combination of clinical signs and lab results points most strongly toward Acute Gastroenteritis possibly exacerbated by dietary indiscretion or an early-stage infectious process not yet detected.</w:t>
      </w:r>
    </w:p>
    <w:bookmarkEnd w:id="26"/>
    <w:bookmarkStart w:id="27" w:name="treatment-plan"/>
    <w:p>
      <w:pPr>
        <w:pStyle w:val="Heading2"/>
      </w:pPr>
      <w:r>
        <w:t xml:space="preserve">6. Treatment Plan</w:t>
      </w:r>
    </w:p>
    <w:p>
      <w:pPr>
        <w:pStyle w:val="FirstParagraph"/>
      </w:pPr>
      <w:r>
        <w:t xml:space="preserve">Based on the</w:t>
      </w:r>
      <w:r>
        <w:t xml:space="preserve"> </w:t>
      </w:r>
      <w:r>
        <w:rPr>
          <w:bCs/>
          <w:b/>
        </w:rPr>
        <w:t xml:space="preserve">Laboratory Report</w:t>
      </w:r>
      <w:r>
        <w:t xml:space="preserve"> </w:t>
      </w:r>
      <w:r>
        <w:t xml:space="preserve">findings, the veterinarian prescribed the following treatment plan:</w:t>
      </w:r>
    </w:p>
    <w:p>
      <w:pPr>
        <w:pStyle w:val="BodyText"/>
      </w:pPr>
      <w:r>
        <w:rPr>
          <w:bCs/>
          <w:b/>
        </w:rPr>
        <w:t xml:space="preserve">Intravenous Fluid Therapy:</w:t>
      </w:r>
      <w:r>
        <w:t xml:space="preserve">To correct dehydration and support renal perfusion.</w:t>
      </w:r>
    </w:p>
    <w:p>
      <w:pPr>
        <w:pStyle w:val="BodyText"/>
      </w:pPr>
      <w:r>
        <w:t xml:space="preserve">"</w:t>
      </w:r>
    </w:p>
    <w:p>
      <w:pPr>
        <w:pStyle w:val="BodyText"/>
      </w:pPr>
      <w:r>
        <w:rPr>
          <w:bCs/>
          <w:b/>
        </w:rPr>
        <w:t xml:space="preserve">Antibiotic Therapy:</w:t>
      </w:r>
      <w:r>
        <w:t xml:space="preserve">"Amoxicillin-Clavulanate to address potential secondary bacterial overgrowth or infection."</w:t>
      </w:r>
    </w:p>
    <w:p>
      <w:pPr>
        <w:pStyle w:val="BodyText"/>
      </w:pPr>
      <w:r>
        <w:t xml:space="preserve">The patient is to be monitored for 24 hours. Follow-up blood work is scheduled in three days to re-evaluate white blood cell counts and kidney function.</w:t>
      </w:r>
    </w:p>
    <w:bookmarkEnd w:id="27"/>
    <w:bookmarkStart w:id="28"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underscores the importance of comprehensive diagnostic testing in veterinary medicine, particularly within the diverse environmental context of</w:t>
      </w:r>
      <w:r>
        <w:t xml:space="preserve"> </w:t>
      </w:r>
      <w:r>
        <w:rPr>
          <w:iCs/>
          <w:i/>
        </w:rPr>
        <w:t xml:space="preserve">(United States Houston)</w:t>
      </w:r>
      <w:r>
        <w:t xml:space="preserve">. The meticulous analysis performed by the veterinarian allowed for a precise diagnosis and targeted treatment strategy, avoiding unnecessary invasive procedures. By documenting these findings rigorously, we ensure that patient care meets the highest standards expected in</w:t>
      </w:r>
      <w:r>
        <w:t xml:space="preserve"> </w:t>
      </w:r>
      <w:r>
        <w:rPr>
          <w:iCs/>
          <w:i/>
        </w:rPr>
        <w:t xml:space="preserve">(United States Houston)</w:t>
      </w:r>
      <w:r>
        <w:t xml:space="preserve">. Future monitoring will determine the efficacy of the current intervention and guide any necessary adjustments to the therapeutic regimen.</w:t>
      </w:r>
    </w:p>
    <w:p>
      <w:pPr>
        <w:pStyle w:val="BodyText"/>
      </w:pPr>
      <w:r>
        <w:rPr>
          <w:bCs/>
          <w:b/>
        </w:rPr>
        <w:t xml:space="preserve">Report Prepared By:</w:t>
      </w:r>
      <w:r>
        <w:br/>
      </w:r>
      <w:r>
        <w:t xml:space="preserve">Sarah Jenkins, DVM</w:t>
      </w:r>
      <w:r>
        <w:br/>
      </w:r>
      <w:r>
        <w:t xml:space="preserve">Veterinary Medical Director</w:t>
      </w:r>
      <w:r>
        <w:br/>
      </w:r>
      <w:r>
        <w:t xml:space="preserve">Houston Metropolitan Veterinary Research Center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2026-07-29T16:24:36Z</dcterms:created>
  <dcterms:modified xsi:type="dcterms:W3CDTF">2026-07-29T16:24:36Z</dcterms:modified>
</cp:coreProperties>
</file>

<file path=docProps/custom.xml><?xml version="1.0" encoding="utf-8"?>
<Properties xmlns="http://schemas.openxmlformats.org/officeDocument/2006/custom-properties" xmlns:vt="http://schemas.openxmlformats.org/officeDocument/2006/docPropsVTypes"/>
</file>