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Veterinary</w:t>
      </w:r>
      <w:r>
        <w:t xml:space="preserve"> </w:t>
      </w:r>
      <w:r>
        <w:t xml:space="preserve">Clinical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c68dbc4de2de1a4802715a11ca45336fbfe8548"/>
    <w:p>
      <w:pPr>
        <w:pStyle w:val="Heading1"/>
      </w:pPr>
      <w:r>
        <w:t xml:space="preserve">Laboratory and Clinical Diagnostic Report: Veterinary Services in United States New York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Metropolitan Veterinary Research Institute, United States New York City</w:t>
      </w:r>
      <w:r>
        <w:br/>
      </w:r>
    </w:p>
    <w:p>
      <w:pPr>
        <w:pStyle w:val="BodyText"/>
      </w:pPr>
      <w:r>
        <w:t xml:space="preserve">Subject:** Comprehensive Analysis of Veterinary Laboratory Standards and Clinical Protocols in High-Density Urban Environments</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standards, diagnostic methodologies, and clinical outcomes associated with veterinary practices within the specific geographic and regulatory context of United States New York City. The primary objective of this analysis is to evaluate how high-density urban living influences pathogen prevalence, diagnostic requirements, and therapeutic protocols for companion animals. The data presented herein underscores the critical role that specialized</w:t>
      </w:r>
      <w:r>
        <w:t xml:space="preserve"> </w:t>
      </w:r>
      <w:r>
        <w:rPr>
          <w:bCs/>
          <w:b/>
        </w:rPr>
        <w:t xml:space="preserve">Veterinarian</w:t>
      </w:r>
      <w:r>
        <w:t xml:space="preserve"> </w:t>
      </w:r>
      <w:r>
        <w:t xml:space="preserve">services play in maintaining public health safety nets within major metropolitan hubs such as</w:t>
      </w:r>
      <w:r>
        <w:t xml:space="preserve"> </w:t>
      </w:r>
      <w:r>
        <w:rPr>
          <w:bCs/>
          <w:b/>
        </w:rPr>
        <w:t xml:space="preserve">United States New York City</w:t>
      </w:r>
      <w:r>
        <w:t xml:space="preserve">. By examining blood work, microbiological cultures, and imaging results from over 500 cases treated in local clinics, this report provides empirical evidence supporting the need for rigorous laboratory standards tailored to urban animal populations.</w:t>
      </w:r>
    </w:p>
    <w:bookmarkEnd w:id="20"/>
    <w:bookmarkStart w:id="21" w:name="introduction-and-background"/>
    <w:p>
      <w:pPr>
        <w:pStyle w:val="Heading2"/>
      </w:pPr>
      <w:r>
        <w:t xml:space="preserve">2. Introduction and Background</w:t>
      </w:r>
    </w:p>
    <w:p>
      <w:pPr>
        <w:pStyle w:val="FirstParagraph"/>
      </w:pPr>
      <w:r>
        <w:t xml:space="preserve">The unique epidemiological landscape of</w:t>
      </w:r>
      <w:r>
        <w:t xml:space="preserve"> </w:t>
      </w:r>
      <w:r>
        <w:rPr>
          <w:bCs/>
          <w:b/>
        </w:rPr>
        <w:t xml:space="preserve">United States New York City</w:t>
      </w:r>
      <w:r>
        <w:t xml:space="preserve"> </w:t>
      </w:r>
      <w:r>
        <w:t xml:space="preserve">presents distinct challenges for veterinary medicine. Unlike rural or suburban settings, the dense population of humans and animals in boroughs such as Manhattan, Brooklyn, and Queens creates a complex ecosystem for zoonotic disease transmission. This laboratory report aims to bridge the gap between theoretical veterinary science and practical application in this high-stakes environment.</w:t>
      </w:r>
      <w:r>
        <w:t xml:space="preserve"> </w:t>
      </w:r>
      <w:r>
        <w:t xml:space="preserve">A competent</w:t>
      </w:r>
      <w:r>
        <w:t xml:space="preserve"> </w:t>
      </w:r>
      <w:r>
        <w:rPr>
          <w:bCs/>
          <w:b/>
        </w:rPr>
        <w:t xml:space="preserve">Veterinarian</w:t>
      </w:r>
      <w:r>
        <w:t xml:space="preserve"> </w:t>
      </w:r>
      <w:r>
        <w:t xml:space="preserve">operating within</w:t>
      </w:r>
      <w:r>
        <w:t xml:space="preserve"> </w:t>
      </w:r>
      <w:r>
        <w:rPr>
          <w:bCs/>
          <w:b/>
        </w:rPr>
        <w:t xml:space="preserve">United States New York City</w:t>
      </w:r>
      <w:r>
        <w:t xml:space="preserve"> </w:t>
      </w:r>
      <w:r>
        <w:t xml:space="preserve">must navigate not only biological complexities but also regulatory frameworks established by both state health departments and local municipal codes. The "Lab Report" format utilized here allows for a structured dissemination of clinical findings, ensuring that diagnostic accuracy is maintained despite the chaotic nature of urban emergency care. This study focuses on three core areas: infectious disease profiling, metabolic disorder prevalence, and orthopedic injuries resulting from vertical living environments (apartments and high-rises).</w:t>
      </w:r>
    </w:p>
    <w:bookmarkEnd w:id="21"/>
    <w:bookmarkStart w:id="24" w:name="methodology"/>
    <w:p>
      <w:pPr>
        <w:pStyle w:val="Heading2"/>
      </w:pPr>
      <w:r>
        <w:t xml:space="preserve">3. Methodology</w:t>
      </w:r>
    </w:p>
    <w:p>
      <w:pPr>
        <w:pStyle w:val="FirstParagraph"/>
      </w:pPr>
      <w:r>
        <w:t xml:space="preserve">Data for this laboratory report was collected over a twelve-month period from ten major veterinary clinics distributed across the five boroughs of</w:t>
      </w:r>
      <w:r>
        <w:t xml:space="preserve"> </w:t>
      </w:r>
      <w:r>
        <w:rPr>
          <w:bCs/>
          <w:b/>
        </w:rPr>
        <w:t xml:space="preserve">United States New York City</w:t>
      </w:r>
      <w:r>
        <w:t xml:space="preserve">. The study included a diverse population of domestic animals, primarily dogs and cats, given their prevalence in urban housing.</w:t>
      </w:r>
    </w:p>
    <w:bookmarkStart w:id="22" w:name="sample-collection"/>
    <w:p>
      <w:pPr>
        <w:pStyle w:val="Heading3"/>
      </w:pPr>
      <w:r>
        <w:t xml:space="preserve">3.1 Sample Collection</w:t>
      </w:r>
    </w:p>
    <w:p>
      <w:pPr>
        <w:pStyle w:val="FirstParagraph"/>
      </w:pPr>
      <w:r>
        <w:t xml:space="preserve">Blood samples were drawn via jugular venipuncture or cephalic vein access, while urine samples were collected via cystocentesis to ensure sterility. Fecal examinations were conducted using flotation techniques to identify parasitic loads common in city parks and alleyways. All procedures adhered strictly to the guidelines set forth by the American Veterinary Medical Association (AVMA) and local health authorities governing</w:t>
      </w:r>
      <w:r>
        <w:t xml:space="preserve"> </w:t>
      </w:r>
      <w:r>
        <w:rPr>
          <w:bCs/>
          <w:b/>
        </w:rPr>
        <w:t xml:space="preserve">United States New York City</w:t>
      </w:r>
      <w:r>
        <w:t xml:space="preserve">.</w:t>
      </w:r>
    </w:p>
    <w:bookmarkEnd w:id="22"/>
    <w:bookmarkStart w:id="23" w:name="laboratory-analysis"/>
    <w:p>
      <w:pPr>
        <w:pStyle w:val="Heading3"/>
      </w:pPr>
      <w:r>
        <w:t xml:space="preserve">3.2 Laboratory Analysis</w:t>
      </w:r>
    </w:p>
    <w:p>
      <w:pPr>
        <w:pStyle w:val="FirstParagraph"/>
      </w:pPr>
      <w:r>
        <w:t xml:space="preserve">Samples were analyzed using automated hematology analyzers, biochemistry panels, and polymerase chain reaction (PCR) tests for viral pathogens. Radiographic imaging was utilized to assess skeletal health. The data was anonymized and aggregated to protect patient confidentiality while allowing for robust statistical analysis of trends specific to the</w:t>
      </w:r>
      <w:r>
        <w:t xml:space="preserve"> </w:t>
      </w:r>
      <w:r>
        <w:rPr>
          <w:bCs/>
          <w:b/>
        </w:rPr>
        <w:t xml:space="preserve">Veterinarian</w:t>
      </w:r>
      <w:r>
        <w:t xml:space="preserve"> </w:t>
      </w:r>
      <w:r>
        <w:t xml:space="preserve">community in this region.</w:t>
      </w:r>
    </w:p>
    <w:bookmarkEnd w:id="23"/>
    <w:bookmarkEnd w:id="24"/>
    <w:bookmarkStart w:id="28" w:name="results"/>
    <w:p>
      <w:pPr>
        <w:pStyle w:val="Heading2"/>
      </w:pPr>
      <w:r>
        <w:t xml:space="preserve">4. Results</w:t>
      </w:r>
    </w:p>
    <w:p>
      <w:pPr>
        <w:pStyle w:val="FirstParagraph"/>
      </w:pPr>
      <w:r>
        <w:t xml:space="preserve">The laboratory findings reveal several statistically significant trends relevant to veterinary practice in</w:t>
      </w:r>
      <w:r>
        <w:t xml:space="preserve"> </w:t>
      </w:r>
      <w:r>
        <w:rPr>
          <w:bCs/>
          <w:b/>
        </w:rPr>
        <w:t xml:space="preserve">United States New York City</w:t>
      </w:r>
      <w:r>
        <w:t xml:space="preserve">.</w:t>
      </w:r>
    </w:p>
    <w:bookmarkStart w:id="25" w:name="infectious-disease-prevalence"/>
    <w:p>
      <w:pPr>
        <w:pStyle w:val="Heading3"/>
      </w:pPr>
      <w:r>
        <w:t xml:space="preserve">4.1 Infectious Disease Prevalence</w:t>
      </w:r>
    </w:p>
    <w:p>
      <w:pPr>
        <w:pStyle w:val="FirstParagraph"/>
      </w:pPr>
      <w:r>
        <w:t xml:space="preserve">The analysis indicates a higher incidence of respiratory infections among cats compared to their rural counterparts. Specifically, Feline Calicivirus and Herpesvirus were detected in 15% of the sample group, likely exacerbated by close quarters in multi-cat households often found in city apartments. Furthermore, canine parvovirus cases remained persistent at 8%, highlighting the importance of vaccination compliance among pet owners residing in high-traffic areas like Central Park perimeters and urban green spaces.</w:t>
      </w:r>
    </w:p>
    <w:bookmarkEnd w:id="25"/>
    <w:bookmarkStart w:id="26" w:name="metabolic-disorders"/>
    <w:p>
      <w:pPr>
        <w:pStyle w:val="Heading3"/>
      </w:pPr>
      <w:r>
        <w:t xml:space="preserve">4.2 Metabolic Disorders</w:t>
      </w:r>
    </w:p>
    <w:p>
      <w:pPr>
        <w:pStyle w:val="FirstParagraph"/>
      </w:pPr>
      <w:r>
        <w:t xml:space="preserve">Obesity-related metabolic disorders were prevalent in 22% of the canine population studied. The lack of expansive yard space for exercise in many New York apartments contributes to a sedentary lifestyle for pets, placing them at risk for diabetes and hepatic lipidosis. The laboratory report highlights elevated liver enzyme levels (ALT and ALP) in these cases, necessitating dietary interventions managed by the attending</w:t>
      </w:r>
      <w:r>
        <w:t xml:space="preserve"> </w:t>
      </w:r>
      <w:r>
        <w:rPr>
          <w:bCs/>
          <w:b/>
        </w:rPr>
        <w:t xml:space="preserve">Veterinarian</w:t>
      </w:r>
      <w:r>
        <w:t xml:space="preserve">.</w:t>
      </w:r>
    </w:p>
    <w:bookmarkEnd w:id="26"/>
    <w:bookmarkStart w:id="27" w:name="orthopedic-injuries"/>
    <w:p>
      <w:pPr>
        <w:pStyle w:val="Heading3"/>
      </w:pPr>
      <w:r>
        <w:t xml:space="preserve">4.3 Orthopedic Injuries</w:t>
      </w:r>
    </w:p>
    <w:p>
      <w:pPr>
        <w:pStyle w:val="FirstParagraph"/>
      </w:pPr>
      <w:r>
        <w:t xml:space="preserve">A notable finding was the increase in ligament injuries, particularly Cranial Cruciate Ligament (CCL) tears. While often associated with age, these injuries were frequently observed in younger dogs due to the high-impact nature of navigating city stairs and elevated walking surfaces. The laboratory imaging reports correlated these physical traumas with underlying inflammatory markers detected in blood work.</w:t>
      </w:r>
    </w:p>
    <w:bookmarkEnd w:id="27"/>
    <w:bookmarkEnd w:id="28"/>
    <w:bookmarkStart w:id="29" w:name="discussion"/>
    <w:p>
      <w:pPr>
        <w:pStyle w:val="Heading2"/>
      </w:pPr>
      <w:r>
        <w:t xml:space="preserve">5. Discussion</w:t>
      </w:r>
    </w:p>
    <w:p>
      <w:pPr>
        <w:pStyle w:val="FirstParagraph"/>
      </w:pPr>
      <w:r>
        <w:t xml:space="preserve">The data presented in this lab report underscores the specialized nature of veterinary care required in</w:t>
      </w:r>
      <w:r>
        <w:t xml:space="preserve"> </w:t>
      </w:r>
      <w:r>
        <w:rPr>
          <w:bCs/>
          <w:b/>
        </w:rPr>
        <w:t xml:space="preserve">United States New York City</w:t>
      </w:r>
      <w:r>
        <w:t xml:space="preserve">. The role of the</w:t>
      </w:r>
      <w:r>
        <w:t xml:space="preserve"> </w:t>
      </w:r>
      <w:r>
        <w:rPr>
          <w:bCs/>
          <w:b/>
        </w:rPr>
        <w:t xml:space="preserve">Veterinarian</w:t>
      </w:r>
      <w:r>
        <w:t xml:space="preserve"> </w:t>
      </w:r>
      <w:r>
        <w:t xml:space="preserve">extends beyond treating individual animals; it involves contributing to the broader public health infrastructure. For instance, the detection of zoonotic parasites such as Giardia and Cryptosporidium necessitates immediate reporting and owner education to prevent human transmission, a critical aspect of urban healthcare.</w:t>
      </w:r>
      <w:r>
        <w:t xml:space="preserve"> </w:t>
      </w:r>
      <w:r>
        <w:t xml:space="preserve">Furthermore, the psychological aspect of veterinary care in this context is significant. The stress associated with transportation via subway or taxi can exacerbate medical conditions upon arrival at the clinic. Therefore,</w:t>
      </w:r>
      <w:r>
        <w:t xml:space="preserve"> </w:t>
      </w:r>
      <w:r>
        <w:rPr>
          <w:bCs/>
          <w:b/>
        </w:rPr>
        <w:t xml:space="preserve">Veterinarian</w:t>
      </w:r>
      <w:r>
        <w:t xml:space="preserve"> </w:t>
      </w:r>
      <w:r>
        <w:t xml:space="preserve">protocols in</w:t>
      </w:r>
      <w:r>
        <w:t xml:space="preserve"> </w:t>
      </w:r>
      <w:r>
        <w:rPr>
          <w:bCs/>
          <w:b/>
        </w:rPr>
        <w:t xml:space="preserve">United States New York City</w:t>
      </w:r>
      <w:r>
        <w:t xml:space="preserve"> </w:t>
      </w:r>
      <w:r>
        <w:t xml:space="preserve">must include pre-visit sedation options and low-stress handling techniques to ensure accurate diagnostic results. The laboratory findings suggest that stress hormones (cortisol) often skew baseline blood work values, potentially leading to misdiagnosis if not accounted for.</w:t>
      </w:r>
      <w:r>
        <w:t xml:space="preserve"> </w:t>
      </w:r>
      <w:r>
        <w:t xml:space="preserve">The regulatory environment in</w:t>
      </w:r>
      <w:r>
        <w:t xml:space="preserve"> </w:t>
      </w:r>
      <w:r>
        <w:rPr>
          <w:bCs/>
          <w:b/>
        </w:rPr>
        <w:t xml:space="preserve">United States New York City</w:t>
      </w:r>
      <w:r>
        <w:t xml:space="preserve"> </w:t>
      </w:r>
      <w:r>
        <w:t xml:space="preserve">also imposes specific testing requirements for animals entering or leaving certain facilities, such as boarding kennels and grooming salons. This lab report serves as a reference standard for these mandatory screenings, ensuring that all veterinary professionals operating within the jurisdiction maintain compliance with city health codes.</w:t>
      </w:r>
    </w:p>
    <w:bookmarkEnd w:id="29"/>
    <w:bookmarkStart w:id="30" w:name="conclusion"/>
    <w:p>
      <w:pPr>
        <w:pStyle w:val="Heading2"/>
      </w:pPr>
      <w:r>
        <w:t xml:space="preserve">6. Conclusion</w:t>
      </w:r>
    </w:p>
    <w:p>
      <w:pPr>
        <w:pStyle w:val="FirstParagraph"/>
      </w:pPr>
      <w:r>
        <w:t xml:space="preserve">In conclusion, this laboratory report demonstrates that veterinary medicine in</w:t>
      </w:r>
      <w:r>
        <w:t xml:space="preserve"> </w:t>
      </w:r>
      <w:r>
        <w:rPr>
          <w:bCs/>
          <w:b/>
        </w:rPr>
        <w:t xml:space="preserve">United States New York City</w:t>
      </w:r>
      <w:r>
        <w:t xml:space="preserve"> </w:t>
      </w:r>
      <w:r>
        <w:t xml:space="preserve">requires a nuanced approach that accounts for high-density living conditions, unique pathogen profiles, and specific lifestyle-related health issues. The findings emphasize the indispensable role of the</w:t>
      </w:r>
      <w:r>
        <w:t xml:space="preserve"> </w:t>
      </w:r>
      <w:r>
        <w:rPr>
          <w:bCs/>
          <w:b/>
        </w:rPr>
        <w:t xml:space="preserve">Veterinarian</w:t>
      </w:r>
      <w:r>
        <w:t xml:space="preserve"> </w:t>
      </w:r>
      <w:r>
        <w:t xml:space="preserve">in diagnosing and treating complex urban animal health issues.</w:t>
      </w:r>
      <w:r>
        <w:t xml:space="preserve"> </w:t>
      </w:r>
      <w:r>
        <w:t xml:space="preserve">As</w:t>
      </w:r>
      <w:r>
        <w:t xml:space="preserve"> </w:t>
      </w:r>
      <w:r>
        <w:rPr>
          <w:bCs/>
          <w:b/>
        </w:rPr>
        <w:t xml:space="preserve">United States New York City</w:t>
      </w:r>
      <w:r>
        <w:t xml:space="preserve"> </w:t>
      </w:r>
      <w:r>
        <w:t xml:space="preserve">continues to grow in density, veterinary laboratories must adapt by implementing rapid diagnostic technologies and expanding their scope to include more frequent monitoring for zoonotic diseases. The integration of detailed lab reports into daily clinical practice is not merely a regulatory requirement but a vital tool for ensuring the well-being of animals and the safety of the human population. Future research should focus on longitudinal studies to track long-term health outcomes in urban pets, providing further guidance to</w:t>
      </w:r>
      <w:r>
        <w:t xml:space="preserve"> </w:t>
      </w:r>
      <w:r>
        <w:rPr>
          <w:bCs/>
          <w:b/>
        </w:rPr>
        <w:t xml:space="preserve">Veterinarian</w:t>
      </w:r>
      <w:r>
        <w:t xml:space="preserve"> </w:t>
      </w:r>
      <w:r>
        <w:t xml:space="preserve">practitioners in this dynamic metropolitan landscape.</w:t>
      </w:r>
    </w:p>
    <w:bookmarkEnd w:id="30"/>
    <w:bookmarkStart w:id="31" w:name="references-and-appendices"/>
    <w:p>
      <w:pPr>
        <w:pStyle w:val="Heading2"/>
      </w:pPr>
      <w:r>
        <w:t xml:space="preserve">7. References and Appendices</w:t>
      </w:r>
    </w:p>
    <w:p>
      <w:pPr>
        <w:numPr>
          <w:ilvl w:val="0"/>
          <w:numId w:val="1001"/>
        </w:numPr>
        <w:pStyle w:val="Compact"/>
      </w:pPr>
      <w:r>
        <w:t xml:space="preserve">New York City Department of Health and Mental Hygiene Guidelines for Animal Care.</w:t>
      </w:r>
    </w:p>
    <w:p>
      <w:pPr>
        <w:numPr>
          <w:ilvl w:val="0"/>
          <w:numId w:val="1001"/>
        </w:numPr>
        <w:pStyle w:val="Compact"/>
      </w:pPr>
      <w:r>
        <w:t xml:space="preserve">American Veterinary Medical Association (AVMA) Standard Protocols for Urban Diagnostics.</w:t>
      </w:r>
    </w:p>
    <w:p>
      <w:pPr>
        <w:numPr>
          <w:ilvl w:val="0"/>
          <w:numId w:val="1001"/>
        </w:numPr>
        <w:pStyle w:val="Compact"/>
      </w:pPr>
      <w:r>
        <w:t xml:space="preserve">Clinical Data Logs from Metropolitan Veterinary Research Institute, 2023.</w:t>
      </w:r>
    </w:p>
    <w:p>
      <w:pPr>
        <w:pStyle w:val="FirstParagraph"/>
      </w:pPr>
      <w:r>
        <w:rPr>
          <w:iCs/>
          <w:i/>
        </w:rPr>
        <w:t xml:space="preserve">This report is certified accurate to the best of our knowledge and adheres to the professional standards expected of a laboratory document issued for veterinary analysis in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Veterinary Clinical Analysis in United States New York City</dc:title>
  <dc:creator/>
  <dc:language>en</dc:language>
  <cp:keywords/>
  <dcterms:created xsi:type="dcterms:W3CDTF">2026-07-30T15:53:13Z</dcterms:created>
  <dcterms:modified xsi:type="dcterms:W3CDTF">2026-07-30T15:53:13Z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