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Clinical</w:t>
      </w:r>
      <w:r>
        <w:t xml:space="preserve"> </w:t>
      </w:r>
      <w:r>
        <w:t xml:space="preserve">Laboratory</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a333fba00efe9b149fcf123773158dfb0b86dbd"/>
    <w:p>
      <w:pPr>
        <w:pStyle w:val="Heading1"/>
      </w:pPr>
      <w:r>
        <w:t xml:space="preserve">Clinical Laboratory Report: Comprehensive Veterinary Analysis</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SF-VMC-89402</w:t>
      </w:r>
      <w:r>
        <w:br/>
      </w:r>
      <w:r>
        <w:rPr>
          <w:bCs/>
          <w:b/>
        </w:rPr>
        <w:t xml:space="preserve">Institution:</w:t>
      </w:r>
      <w:r>
        <w:t xml:space="preserve"> </w:t>
      </w:r>
      <w:r>
        <w:t xml:space="preserve">San Francisco Veterinary Diagnostic Laboratory, United States San Francisco Branch</w:t>
      </w:r>
    </w:p>
    <w:bookmarkStart w:id="20" w:name="i.-executive-summary-and-introduction"/>
    <w:p>
      <w:pPr>
        <w:pStyle w:val="Heading2"/>
      </w:pPr>
      <w:r>
        <w:t xml:space="preserve">I. Executive Summary and Introduction</w:t>
      </w:r>
    </w:p>
    <w:p>
      <w:pPr>
        <w:pStyle w:val="FirstParagraph"/>
      </w:pPr>
      <w:r>
        <w:t xml:space="preserve">This document serves as a comprehensive laboratory report generated by the diagnostic facilities located in United States San Francisco. The primary objective of this study is to evaluate the clinical health status of the patient through rigorous hematological, biochemical, and pathological analyses conducted under strict veterinary protocols specific to high-density urban environments. As a major metropolitan hub within California, United States San Francisco presents unique epidemiological challenges for veterinary medicine. The dense population of companion animals in this region necessitates advanced diagnostic capabilities to identify zoonotic risks and common urban health issues such as respiratory infections, metabolic disorders, and trauma-related injuries.</w:t>
      </w:r>
      <w:r>
        <w:t xml:space="preserve"> </w:t>
      </w:r>
      <w:r>
        <w:t xml:space="preserve">The scope of this report covers a complete blood count (CBC), a comprehensive metabolic panel (CMP), and urinalysis results. These tests were performed using state-of-the-art automated analyzers calibrated to the standards set by the American Veterinary Medical Association (AVMA) and local health departments in United States San Francisco. The data presented herein provides critical insights into the patient’s physiological baseline, aiding the attending veterinarian in formulating a precise treatment plan tailored to the specific environmental factors of this city.</w:t>
      </w:r>
    </w:p>
    <w:bookmarkEnd w:id="20"/>
    <w:bookmarkStart w:id="21" w:name="ii.-materials-and-methods"/>
    <w:p>
      <w:pPr>
        <w:pStyle w:val="Heading2"/>
      </w:pPr>
      <w:r>
        <w:t xml:space="preserve">II. Materials and Methods</w:t>
      </w:r>
    </w:p>
    <w:p>
      <w:pPr>
        <w:pStyle w:val="FirstParagraph"/>
      </w:pPr>
      <w:r>
        <w:t xml:space="preserve">All samples were collected under sterile conditions at a licensed veterinary clinic in United States San Francisco. The collection process adhered to strict bio-safety guidelines to prevent cross-contamination, particularly important given the high prevalence of infectious agents in urban settings. Blood samples were drawn via venipuncture from the cephalic vein and placed into EDTA tubes for hematology and serum separator tubes for chemistry. Urine samples were obtained via cystocentesis to ensure a non-contaminated specimen, which is crucial for accurate diagnostic interpretation in United States San Francisco clinics where outdoor exposure may introduce external contaminants.</w:t>
      </w:r>
      <w:r>
        <w:t xml:space="preserve"> </w:t>
      </w:r>
      <w:r>
        <w:t xml:space="preserve">The laboratory procedures utilized automated hematology analyzers to assess red blood cell indices, white blood cell differentials, and platelet counts. Biochemical analysis was performed using spectrophotometry to measure enzyme levels, electrolyte balances, and organ function markers. All equipment underwent daily calibration checks in accordance with regulations enforced by the California Department of Food and Agriculture. The laboratory personnel are certified veterinary technicians based in United States San Francisco who undergo regular continuing education to stay abreast of emerging diseases and diagnostic technologies prevalent in the region.</w:t>
      </w:r>
    </w:p>
    <w:bookmarkEnd w:id="21"/>
    <w:bookmarkStart w:id="22" w:name="iii.-laboratory-results"/>
    <w:p>
      <w:pPr>
        <w:pStyle w:val="Heading2"/>
      </w:pPr>
      <w:r>
        <w:t xml:space="preserve">III. Laboratory Results</w:t>
      </w:r>
    </w:p>
    <w:p>
      <w:pPr>
        <w:pStyle w:val="FirstParagraph"/>
      </w:pPr>
      <w:r>
        <w:t xml:space="preserve">The following tables present the quantitative results obtained from the patient’s samples. Values falling outside the reference ranges are highlighted for immediate clinical attention. These reference ranges are derived from data collected across multiple veterinary practices in United States San Francisco to ensure local relevance and accuracy.</w:t>
      </w:r>
    </w:p>
    <w:p>
      <w:pPr>
        <w:pStyle w:val="BodyText"/>
      </w:pPr>
      <w:r>
        <w:t xml:space="preserve">Test Parameter</w:t>
      </w:r>
    </w:p>
    <w:p>
      <w:pPr>
        <w:pStyle w:val="BodyText"/>
      </w:pPr>
      <w:r>
        <w:t xml:space="preserve">Patient Result</w:t>
      </w:r>
    </w:p>
    <w:p>
      <w:pPr>
        <w:pStyle w:val="BodyText"/>
      </w:pPr>
      <w:r>
        <w:t xml:space="preserve">Reference Range (US-SF Standard)</w:t>
      </w:r>
    </w:p>
    <w:p>
      <w:pPr>
        <w:pStyle w:val="BodyText"/>
      </w:pPr>
      <w:r>
        <w:t xml:space="preserve">Status</w:t>
      </w:r>
    </w:p>
    <w:p>
      <w:pPr>
        <w:pStyle w:val="BodyText"/>
      </w:pPr>
      <w:r>
        <w:t xml:space="preserve">&lt; td&gt;Hemoglobin (g/dL) &lt; td &gt; 14.2 &lt; td &gt; 12.0 - 18.0 &lt; td&gt;Normal</w:t>
      </w:r>
    </w:p>
    <w:p>
      <w:pPr>
        <w:pStyle w:val="BodyText"/>
      </w:pPr>
      <w:r>
        <w:t xml:space="preserve">Hematocrit (%)</w:t>
      </w:r>
      <w:r>
        <w:br/>
      </w:r>
      <w:r>
        <w:t xml:space="preserve">Red Blood Cells</w:t>
      </w:r>
      <w:r>
        <w:br/>
      </w:r>
      <w:r>
        <w:t xml:space="preserve">White Blood Cells (x10^3/uL)</w:t>
      </w:r>
      <w:r>
        <w:br/>
      </w:r>
    </w:p>
    <w:p>
      <w:pPr>
        <w:pStyle w:val="BodyText"/>
      </w:pPr>
      <w:r>
        <w:t xml:space="preserve">45%</w:t>
      </w:r>
      <w:r>
        <w:br/>
      </w:r>
      <w:r>
        <w:t xml:space="preserve">6.5 M/uL</w:t>
      </w:r>
      <w:r>
        <w:br/>
      </w:r>
      <w:r>
        <w:rPr>
          <w:bCs/>
          <w:b/>
        </w:rPr>
        <w:t xml:space="preserve">18.5</w:t>
      </w:r>
    </w:p>
    <w:p>
      <w:pPr>
        <w:pStyle w:val="BodyText"/>
      </w:pPr>
      <w:r>
        <w:t xml:space="preserve">37-55%</w:t>
      </w:r>
      <w:r>
        <w:br/>
      </w:r>
      <w:r>
        <w:t xml:space="preserve">5.0-9.0 M/uL</w:t>
      </w:r>
      <w:r>
        <w:br/>
      </w:r>
      <w:r>
        <w:t xml:space="preserve">6.0-17.0 x10^3/uL</w:t>
      </w:r>
    </w:p>
    <w:p>
      <w:pPr>
        <w:pStyle w:val="BodyText"/>
      </w:pPr>
      <w:r>
        <w:t xml:space="preserve">Normal</w:t>
      </w:r>
      <w:r>
        <w:br/>
      </w:r>
      <w:r>
        <w:t xml:space="preserve">Normal</w:t>
      </w:r>
      <w:r>
        <w:br/>
      </w:r>
      <w:r>
        <w:rPr>
          <w:bCs/>
          <w:b/>
        </w:rPr>
        <w:t xml:space="preserve">Elevated (Leukocytosis)</w:t>
      </w:r>
    </w:p>
    <w:p>
      <w:pPr>
        <w:pStyle w:val="BodyText"/>
      </w:pPr>
      <w:r>
        <w:t xml:space="preserve">Total Protein (g/dL)</w:t>
      </w:r>
      <w:r>
        <w:br/>
      </w:r>
      <w:r>
        <w:t xml:space="preserve">Albumin (g/dL)</w:t>
      </w:r>
      <w:r>
        <w:br/>
      </w:r>
      <w:r>
        <w:t xml:space="preserve">Creatinine (mg/dL)</w:t>
      </w:r>
      <w:r>
        <w:br/>
      </w:r>
    </w:p>
    <w:p>
      <w:pPr>
        <w:pStyle w:val="BodyText"/>
      </w:pPr>
      <w:r>
        <w:t xml:space="preserve">7.2</w:t>
      </w:r>
      <w:r>
        <w:br/>
      </w:r>
      <w:r>
        <w:t xml:space="preserve">3.8</w:t>
      </w:r>
      <w:r>
        <w:br/>
      </w:r>
      <w:r>
        <w:t xml:space="preserve">1.2</w:t>
      </w:r>
    </w:p>
    <w:p>
      <w:pPr>
        <w:pStyle w:val="BodyText"/>
      </w:pPr>
      <w:r>
        <w:t xml:space="preserve">5.4-7.8 g/dL 2.&lt; 4 -</w:t>
      </w:r>
      <w:r>
        <w:t xml:space="preserve"> </w:t>
      </w:r>
      <w:r>
        <w:rPr>
          <w:bCs/>
          <w:b/>
        </w:rPr>
        <w:t xml:space="preserve">BUN</w:t>
      </w:r>
    </w:p>
    <w:p>
      <w:pPr>
        <w:pStyle w:val="BodyText"/>
      </w:pPr>
      <w:r>
        <w:t xml:space="preserve">&lt; td &gt; Blood Urea Nitrogen (mg/dL) &lt; td &gt; 19</w:t>
      </w:r>
    </w:p>
    <w:p>
      <w:pPr>
        <w:pStyle w:val="BodyText"/>
      </w:pPr>
      <w:r>
        <w:t xml:space="preserve">Glucose (mg/dL)</w:t>
      </w:r>
      <w:r>
        <w:br/>
      </w:r>
      <w:r>
        <w:t xml:space="preserve">ALT (U/L)</w:t>
      </w:r>
      <w:r>
        <w:br/>
      </w:r>
    </w:p>
    <w:p>
      <w:pPr>
        <w:pStyle w:val="BodyText"/>
      </w:pPr>
      <w:r>
        <w:t xml:space="preserve">105</w:t>
      </w:r>
      <w:r>
        <w:br/>
      </w:r>
      <w:r>
        <w:rPr>
          <w:bCs/>
          <w:b/>
        </w:rPr>
        <w:t xml:space="preserve">85</w:t>
      </w:r>
    </w:p>
    <w:p>
      <w:pPr>
        <w:pStyle w:val="BodyText"/>
      </w:pPr>
      <w:r>
        <w:t xml:space="preserve">70-120 mg/dL</w:t>
      </w:r>
      <w:r>
        <w:br/>
      </w:r>
      <w:r>
        <w:t xml:space="preserve">23-56 U/L</w:t>
      </w:r>
    </w:p>
    <w:p>
      <w:pPr>
        <w:pStyle w:val="BodyText"/>
      </w:pPr>
      <w:r>
        <w:t xml:space="preserve">NORMAL</w:t>
      </w:r>
      <w:r>
        <w:br/>
      </w:r>
      <w:r>
        <w:rPr>
          <w:bCs/>
          <w:b/>
        </w:rPr>
        <w:t xml:space="preserve">ELEVATED (Hepatocellular Injury)</w:t>
      </w:r>
    </w:p>
    <w:p>
      <w:pPr>
        <w:pStyle w:val="BodyText"/>
      </w:pPr>
      <w:r>
        <w:t xml:space="preserve">&lt; td &gt; Urine Specific Gravity &lt; td &gt; 1.035 &lt; td &gt; 1.015 - 1.045</w:t>
      </w:r>
    </w:p>
    <w:bookmarkEnd w:id="22"/>
    <w:bookmarkStart w:id="23" w:name="iv.-discussion-and-interpretation"/>
    <w:p>
      <w:pPr>
        <w:pStyle w:val="Heading2"/>
      </w:pPr>
      <w:r>
        <w:t xml:space="preserve">IV. Discussion and Interpretation</w:t>
      </w:r>
    </w:p>
    <w:p>
      <w:pPr>
        <w:pStyle w:val="FirstParagraph"/>
      </w:pPr>
      <w:r>
        <w:t xml:space="preserve">The laboratory findings from this patient indicate several significant physiological deviations that require immediate veterinary intervention. The most notable anomaly is the elevated White Blood Cell (WBC) count, which stands at 18.5 x10^3/uL, exceeding the upper limit of normal for animals in United States San Francisco. This condition, known as leukocytosis, typically suggests an active inflammatory process or infection. Given the urban environment of United States San Francisco, potential causes could include bacterial infections from bite wounds (common in territorial disputes among outdoor cats and dogs), respiratory pathogens prevalent in crowded living conditions, or gastrointestinal inflammation due to ingestion of foreign materials.</w:t>
      </w:r>
      <w:r>
        <w:t xml:space="preserve"> </w:t>
      </w:r>
      <w:r>
        <w:t xml:space="preserve">Furthermore, the elevated Alanine Aminotransferase (ALT) level indicates hepatocellular injury. ALT is an enzyme found primarily in liver cells; when these cells are damaged, ALT leaks into the bloodstream. While mild elevations can occur due to stress or medication side effects, a level of 85 U/L warrants further investigation to rule out chronic liver disease, toxin exposure (such as antifreeze or certain plants common in San Francisco gardens), or metabolic disorders like hepatic lipidosis.</w:t>
      </w:r>
      <w:r>
        <w:t xml:space="preserve"> </w:t>
      </w:r>
      <w:r>
        <w:t xml:space="preserve">The normal values for renal parameters (Creatinine and BUN) and urinalysis suggest that the kidneys are currently functioning within acceptable limits, which is a positive prognostic indicator. The urine specific gravity of 1.035 indicates adequate concentrating ability, suggesting the patient is not dehydrated despite potential systemic illness.</w:t>
      </w:r>
    </w:p>
    <w:bookmarkEnd w:id="23"/>
    <w:bookmarkStart w:id="24" w:name="v.-conclusion-and-recommendations"/>
    <w:p>
      <w:pPr>
        <w:pStyle w:val="Heading2"/>
      </w:pPr>
      <w:r>
        <w:t xml:space="preserve">V. Conclusion and Recommendations</w:t>
      </w:r>
    </w:p>
    <w:p>
      <w:pPr>
        <w:pStyle w:val="FirstParagraph"/>
      </w:pPr>
      <w:r>
        <w:t xml:space="preserve">In conclusion, this laboratory report provides critical diagnostic evidence supporting the presence of an acute inflammatory response and mild hepatic stress in the patient treated by this veterinary service in United States San Francisco. The combination of leukocytosis and elevated ALT necessitates a targeted therapeutic approach. It is recommended that the attending veterinarian initiate a course of broad-spectrum antibiotics to address potential bacterial infection, alongside hepatoprotective supplements such as SAMe or silybin to support liver regeneration and function.</w:t>
      </w:r>
      <w:r>
        <w:t xml:space="preserve"> </w:t>
      </w:r>
      <w:r>
        <w:t xml:space="preserve">Follow-up testing should be scheduled within 14 days to monitor the WBC count for resolution of inflammation and ALT levels for improvement in liver health. Additionally, given the specific urban risks in United States San Francisco, owners are advised to ensure their pets are up-to-date on vaccinations against common local pathogens and to restrict outdoor access during peak hours of wildlife interaction if applicable.</w:t>
      </w:r>
      <w:r>
        <w:t xml:space="preserve"> </w:t>
      </w:r>
      <w:r>
        <w:t xml:space="preserve">This report underscores the importance of precise laboratory diagnostics in veterinary medicine within complex urban ecosystems like United States San Francisco. By adhering to rigorous analytical standards, veterinary professionals can provide superior care that addresses both general health needs and region-specific disease pressures, ensuring the longevity and well-being of companion animals in this dynamic metropolitan area.</w:t>
      </w:r>
    </w:p>
    <w:p>
      <w:pPr>
        <w:pStyle w:val="BodyText"/>
      </w:pPr>
      <w:r>
        <w:rPr>
          <w:bCs/>
          <w:b/>
        </w:rPr>
        <w:t xml:space="preserve">Authorized Signature:</w:t>
      </w:r>
      <w:r>
        <w:t xml:space="preserve">_________________________</w:t>
      </w:r>
      <w:r>
        <w:br/>
      </w:r>
      <w:r>
        <w:rPr>
          <w:bCs/>
          <w:b/>
        </w:rPr>
        <w:t xml:space="preserve">Name:</w:t>
      </w:r>
      <w:r>
        <w:t xml:space="preserve"> </w:t>
      </w:r>
      <w:r>
        <w:t xml:space="preserve">Dr. Elena Rodriguez, DVM, DACVP</w:t>
      </w:r>
      <w:r>
        <w:br/>
      </w:r>
      <w:r>
        <w:rPr>
          <w:bCs/>
          <w:b/>
        </w:rPr>
        <w:t xml:space="preserve">Title:</w:t>
      </w:r>
      <w:r>
        <w:t xml:space="preserve"> </w:t>
      </w:r>
      <w:r>
        <w:t xml:space="preserve">Lead Veterinary Pathologist</w:t>
      </w:r>
      <w:r>
        <w:br/>
      </w:r>
    </w:p>
    <w:p>
      <w:pPr>
        <w:pStyle w:val="BodyText"/>
      </w:pPr>
      <w:r>
        <w:t xml:space="preserve">Institution:</w:t>
      </w:r>
    </w:p>
    <w:p>
      <w:pPr>
        <w:pStyle w:val="BodyText"/>
      </w:pPr>
      <w:r>
        <w:t xml:space="preserve">This document is confidential and intended solely for the use of the veterinarian and pet owner involved in this case. Unauthorized reproduction or distribution of this laboratory report is prohibited under United States San Francisco health regulations.</w:t>
      </w:r>
      <w:r>
        <w:br/>
      </w:r>
      <w:r>
        <w:t xml:space="preserve">© 2023 San Francisco Veterinary Diagnostic Laboratory.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Clinical Laboratory Report: United States San Francisco</dc:title>
  <dc:creator/>
  <dc:language>en</dc:language>
  <cp:keywords/>
  <dcterms:created xsi:type="dcterms:W3CDTF">2026-07-29T17:02:00Z</dcterms:created>
  <dcterms:modified xsi:type="dcterms:W3CDTF">2026-07-29T17:02:00Z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