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Role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20" w:name="X6d8a0ae06d904d73b629fcdaec645fef9df40a2"/>
    <w:p>
      <w:pPr>
        <w:pStyle w:val="Heading1"/>
      </w:pPr>
      <w:r>
        <w:rPr>
          <w:bCs/>
          <w:b/>
        </w:rPr>
        <w:t xml:space="preserve">Lab Report:</w:t>
      </w:r>
      <w:r>
        <w:t xml:space="preserve"> </w:t>
      </w:r>
      <w:r>
        <w:t xml:space="preserve">Comprehensive Analysis of the</w:t>
      </w:r>
      <w:r>
        <w:t xml:space="preserve"> </w:t>
      </w:r>
      <w:r>
        <w:rPr>
          <w:bCs/>
          <w:b/>
        </w:rPr>
        <w:t xml:space="preserve">Web Designer</w:t>
      </w:r>
    </w:p>
    <w:p>
      <w:pPr>
        <w:pStyle w:val="FirstParagraph"/>
      </w:pPr>
      <w:r>
        <w:t xml:space="preserve">&gt;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Web Designer Role Analysis in Colombia Medellín</dc:title>
  <dc:creator/>
  <dc:language>en</dc:language>
  <cp:keywords/>
  <dcterms:created xsi:type="dcterms:W3CDTF">2026-09-27T19:33:38Z</dcterms:created>
  <dcterms:modified xsi:type="dcterms:W3CDTF">2026-09-27T19:33:38Z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